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E8" w:rsidRDefault="00D120E8" w:rsidP="002476CC">
      <w:pPr>
        <w:ind w:firstLine="0"/>
        <w:jc w:val="left"/>
        <w:rPr>
          <w:b/>
          <w:i/>
          <w:sz w:val="26"/>
          <w:szCs w:val="26"/>
          <w:lang w:val="en-US"/>
        </w:rPr>
      </w:pPr>
    </w:p>
    <w:p w:rsidR="003C6CA4" w:rsidRDefault="003C6CA4" w:rsidP="002476CC">
      <w:pPr>
        <w:ind w:firstLine="0"/>
        <w:jc w:val="left"/>
        <w:rPr>
          <w:b/>
          <w:i/>
          <w:sz w:val="26"/>
          <w:szCs w:val="26"/>
        </w:rPr>
      </w:pPr>
    </w:p>
    <w:p w:rsidR="00CF44A6" w:rsidRPr="00CF44A6" w:rsidRDefault="00CF44A6" w:rsidP="002476CC">
      <w:pPr>
        <w:ind w:firstLine="0"/>
        <w:jc w:val="left"/>
        <w:rPr>
          <w:b/>
          <w:i/>
          <w:sz w:val="26"/>
          <w:szCs w:val="26"/>
        </w:rPr>
      </w:pPr>
    </w:p>
    <w:p w:rsidR="002476CC" w:rsidRPr="00F77EB4" w:rsidRDefault="002476CC" w:rsidP="002476CC">
      <w:pPr>
        <w:ind w:firstLine="0"/>
        <w:jc w:val="left"/>
        <w:rPr>
          <w:b/>
          <w:i/>
          <w:sz w:val="26"/>
          <w:szCs w:val="26"/>
        </w:rPr>
      </w:pPr>
      <w:r w:rsidRPr="00F77EB4">
        <w:rPr>
          <w:b/>
          <w:i/>
          <w:sz w:val="26"/>
          <w:szCs w:val="26"/>
        </w:rPr>
        <w:t xml:space="preserve">О стоимости </w:t>
      </w:r>
      <w:r w:rsidR="00FD5A30" w:rsidRPr="00F77EB4">
        <w:rPr>
          <w:b/>
          <w:i/>
          <w:sz w:val="26"/>
          <w:szCs w:val="26"/>
        </w:rPr>
        <w:t xml:space="preserve">потребительских </w:t>
      </w:r>
      <w:r w:rsidRPr="00F77EB4">
        <w:rPr>
          <w:b/>
          <w:i/>
          <w:sz w:val="26"/>
          <w:szCs w:val="26"/>
        </w:rPr>
        <w:t>наборов</w:t>
      </w:r>
    </w:p>
    <w:p w:rsidR="002476CC" w:rsidRPr="00157BCF" w:rsidRDefault="002476CC" w:rsidP="002476CC">
      <w:pPr>
        <w:ind w:firstLine="0"/>
        <w:jc w:val="left"/>
        <w:rPr>
          <w:b/>
          <w:i/>
          <w:sz w:val="26"/>
          <w:szCs w:val="26"/>
        </w:rPr>
      </w:pPr>
      <w:r w:rsidRPr="00F77EB4">
        <w:rPr>
          <w:b/>
          <w:i/>
          <w:sz w:val="26"/>
          <w:szCs w:val="26"/>
        </w:rPr>
        <w:t>в</w:t>
      </w:r>
      <w:r w:rsidR="008A5168" w:rsidRPr="00F77EB4">
        <w:rPr>
          <w:b/>
          <w:i/>
          <w:sz w:val="26"/>
          <w:szCs w:val="26"/>
        </w:rPr>
        <w:t xml:space="preserve"> Республик</w:t>
      </w:r>
      <w:r w:rsidR="00FD5A30" w:rsidRPr="00F77EB4">
        <w:rPr>
          <w:b/>
          <w:i/>
          <w:sz w:val="26"/>
          <w:szCs w:val="26"/>
        </w:rPr>
        <w:t>е</w:t>
      </w:r>
      <w:r w:rsidRPr="00F77EB4">
        <w:rPr>
          <w:b/>
          <w:i/>
          <w:sz w:val="26"/>
          <w:szCs w:val="26"/>
        </w:rPr>
        <w:t xml:space="preserve"> Татарстан </w:t>
      </w:r>
    </w:p>
    <w:p w:rsidR="00884B39" w:rsidRPr="00884B39" w:rsidRDefault="00884B39" w:rsidP="002476CC">
      <w:pPr>
        <w:ind w:firstLine="0"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 </w:t>
      </w:r>
      <w:r w:rsidR="00E96AFC">
        <w:rPr>
          <w:b/>
          <w:i/>
          <w:sz w:val="26"/>
          <w:szCs w:val="26"/>
        </w:rPr>
        <w:t>ноябре</w:t>
      </w:r>
      <w:r>
        <w:rPr>
          <w:b/>
          <w:i/>
          <w:sz w:val="26"/>
          <w:szCs w:val="26"/>
        </w:rPr>
        <w:t>2016г.</w:t>
      </w:r>
    </w:p>
    <w:p w:rsidR="008A5168" w:rsidRPr="008932E8" w:rsidRDefault="008A5168" w:rsidP="00EA4771">
      <w:pPr>
        <w:rPr>
          <w:sz w:val="26"/>
          <w:szCs w:val="26"/>
        </w:rPr>
      </w:pPr>
    </w:p>
    <w:p w:rsidR="001C3BC2" w:rsidRPr="008932E8" w:rsidRDefault="001C3BC2" w:rsidP="00EA4771">
      <w:pPr>
        <w:rPr>
          <w:sz w:val="26"/>
          <w:szCs w:val="26"/>
        </w:rPr>
      </w:pPr>
    </w:p>
    <w:p w:rsidR="00BE2706" w:rsidRPr="008A5168" w:rsidRDefault="00BE2706" w:rsidP="00EA4771">
      <w:pPr>
        <w:rPr>
          <w:sz w:val="26"/>
          <w:szCs w:val="26"/>
        </w:rPr>
      </w:pPr>
    </w:p>
    <w:p w:rsidR="009A00E1" w:rsidRPr="00633B5B" w:rsidRDefault="008A5168" w:rsidP="00813873">
      <w:pPr>
        <w:ind w:firstLine="567"/>
        <w:rPr>
          <w:sz w:val="26"/>
          <w:szCs w:val="26"/>
        </w:rPr>
      </w:pPr>
      <w:r w:rsidRPr="00633B5B">
        <w:rPr>
          <w:sz w:val="26"/>
          <w:szCs w:val="26"/>
        </w:rPr>
        <w:t xml:space="preserve">Территориальный орган Федеральной службы государственной статистики по Республике Татарстан представляет информацию </w:t>
      </w:r>
      <w:r w:rsidR="00AE7FA8" w:rsidRPr="00633B5B">
        <w:rPr>
          <w:sz w:val="26"/>
          <w:szCs w:val="26"/>
        </w:rPr>
        <w:t>о стоимости  потребительских наборов</w:t>
      </w:r>
      <w:r w:rsidR="000543A6" w:rsidRPr="000543A6">
        <w:rPr>
          <w:sz w:val="26"/>
          <w:szCs w:val="26"/>
        </w:rPr>
        <w:t xml:space="preserve"> </w:t>
      </w:r>
      <w:r w:rsidR="00AE7FA8" w:rsidRPr="00633B5B">
        <w:rPr>
          <w:sz w:val="26"/>
          <w:szCs w:val="26"/>
        </w:rPr>
        <w:t>в Республике Татарстан:</w:t>
      </w:r>
    </w:p>
    <w:p w:rsidR="00D120E8" w:rsidRPr="00D43318" w:rsidRDefault="00D120E8" w:rsidP="00813873">
      <w:pPr>
        <w:ind w:firstLine="567"/>
        <w:rPr>
          <w:sz w:val="26"/>
          <w:szCs w:val="26"/>
        </w:rPr>
      </w:pPr>
    </w:p>
    <w:p w:rsidR="005777BA" w:rsidRPr="005777BA" w:rsidRDefault="005777BA" w:rsidP="005777BA">
      <w:pPr>
        <w:tabs>
          <w:tab w:val="left" w:pos="120"/>
        </w:tabs>
        <w:ind w:firstLine="0"/>
        <w:rPr>
          <w:i/>
          <w:sz w:val="24"/>
          <w:szCs w:val="24"/>
        </w:rPr>
      </w:pPr>
      <w:r w:rsidRPr="005777BA">
        <w:rPr>
          <w:i/>
          <w:sz w:val="24"/>
          <w:szCs w:val="24"/>
        </w:rPr>
        <w:t>- условный (минимальный) набор продуктов питания отражает межрегиональную дифференциацию уровней потребительских цен на продукты питания, входящие в него. При расчете используются единые, установленные в целом по Российской Федерации, условные объемы потребления продуктов питания и средние потребительские цены на них;</w:t>
      </w:r>
    </w:p>
    <w:p w:rsidR="005777BA" w:rsidRPr="005777BA" w:rsidRDefault="005777BA" w:rsidP="005777BA">
      <w:pPr>
        <w:tabs>
          <w:tab w:val="left" w:pos="120"/>
        </w:tabs>
        <w:ind w:firstLine="0"/>
        <w:rPr>
          <w:i/>
          <w:sz w:val="24"/>
          <w:szCs w:val="24"/>
        </w:rPr>
      </w:pPr>
      <w:r w:rsidRPr="005777BA">
        <w:rPr>
          <w:i/>
          <w:sz w:val="24"/>
          <w:szCs w:val="24"/>
        </w:rPr>
        <w:t>- фиксированный набор потребительских товаров и услуг для проведения межрегиональных сопоставлений поку</w:t>
      </w:r>
      <w:r w:rsidR="00E96AFC">
        <w:rPr>
          <w:i/>
          <w:sz w:val="24"/>
          <w:szCs w:val="24"/>
        </w:rPr>
        <w:t>пательной способности населения.</w:t>
      </w:r>
    </w:p>
    <w:p w:rsidR="00D43318" w:rsidRDefault="00D43318" w:rsidP="00D120E8">
      <w:pPr>
        <w:tabs>
          <w:tab w:val="left" w:pos="120"/>
        </w:tabs>
        <w:ind w:firstLine="0"/>
        <w:rPr>
          <w:sz w:val="24"/>
          <w:szCs w:val="24"/>
        </w:rPr>
      </w:pPr>
    </w:p>
    <w:p w:rsidR="00E96AFC" w:rsidRDefault="00E96AFC" w:rsidP="00D120E8">
      <w:pPr>
        <w:tabs>
          <w:tab w:val="left" w:pos="120"/>
        </w:tabs>
        <w:ind w:firstLine="0"/>
        <w:rPr>
          <w:sz w:val="24"/>
          <w:szCs w:val="24"/>
        </w:rPr>
      </w:pPr>
    </w:p>
    <w:p w:rsidR="00452143" w:rsidRPr="00D5714B" w:rsidRDefault="00452143" w:rsidP="00D120E8">
      <w:pPr>
        <w:tabs>
          <w:tab w:val="left" w:pos="120"/>
        </w:tabs>
        <w:ind w:firstLine="0"/>
        <w:rPr>
          <w:sz w:val="24"/>
          <w:szCs w:val="24"/>
        </w:rPr>
      </w:pPr>
    </w:p>
    <w:p w:rsidR="00D43318" w:rsidRPr="00EB4ABE" w:rsidRDefault="00D43318" w:rsidP="00D43318">
      <w:pPr>
        <w:widowControl w:val="0"/>
        <w:tabs>
          <w:tab w:val="left" w:pos="0"/>
        </w:tabs>
        <w:autoSpaceDE/>
        <w:autoSpaceDN/>
        <w:adjustRightInd/>
        <w:ind w:firstLine="0"/>
        <w:jc w:val="center"/>
        <w:outlineLvl w:val="0"/>
        <w:rPr>
          <w:b/>
          <w:i/>
          <w:sz w:val="26"/>
          <w:szCs w:val="26"/>
        </w:rPr>
      </w:pPr>
      <w:r w:rsidRPr="00EB4ABE">
        <w:rPr>
          <w:b/>
          <w:i/>
          <w:sz w:val="26"/>
          <w:szCs w:val="26"/>
        </w:rPr>
        <w:t>Условный (минимальный) набор продуктов питания</w:t>
      </w:r>
    </w:p>
    <w:p w:rsidR="003D2082" w:rsidRPr="00EB4ABE" w:rsidRDefault="003D2082" w:rsidP="00D43318">
      <w:pPr>
        <w:widowControl w:val="0"/>
        <w:tabs>
          <w:tab w:val="left" w:pos="0"/>
        </w:tabs>
        <w:autoSpaceDE/>
        <w:autoSpaceDN/>
        <w:adjustRightInd/>
        <w:ind w:firstLine="0"/>
        <w:jc w:val="center"/>
        <w:outlineLvl w:val="0"/>
        <w:rPr>
          <w:b/>
          <w:i/>
          <w:sz w:val="26"/>
          <w:szCs w:val="26"/>
        </w:rPr>
      </w:pPr>
    </w:p>
    <w:p w:rsidR="00D43318" w:rsidRPr="00EB4ABE" w:rsidRDefault="00D43318" w:rsidP="00D43318">
      <w:pPr>
        <w:widowControl w:val="0"/>
        <w:autoSpaceDE/>
        <w:autoSpaceDN/>
        <w:adjustRightInd/>
        <w:ind w:right="113" w:firstLine="708"/>
        <w:rPr>
          <w:sz w:val="24"/>
          <w:szCs w:val="24"/>
        </w:rPr>
      </w:pPr>
      <w:r w:rsidRPr="00EB4ABE">
        <w:rPr>
          <w:sz w:val="24"/>
          <w:szCs w:val="24"/>
        </w:rPr>
        <w:t>Стоимость условного (минимального) набора продуктов питания</w:t>
      </w:r>
      <w:r w:rsidRPr="00EB4ABE">
        <w:rPr>
          <w:sz w:val="24"/>
          <w:szCs w:val="24"/>
          <w:vertAlign w:val="superscript"/>
        </w:rPr>
        <w:t xml:space="preserve">1) </w:t>
      </w:r>
      <w:r w:rsidRPr="00EB4ABE">
        <w:rPr>
          <w:sz w:val="24"/>
          <w:szCs w:val="24"/>
        </w:rPr>
        <w:t xml:space="preserve">на конец </w:t>
      </w:r>
      <w:r w:rsidR="00274247">
        <w:rPr>
          <w:sz w:val="24"/>
          <w:szCs w:val="24"/>
        </w:rPr>
        <w:t>ноября</w:t>
      </w:r>
      <w:r w:rsidRPr="00EB4ABE">
        <w:rPr>
          <w:sz w:val="24"/>
          <w:szCs w:val="24"/>
        </w:rPr>
        <w:t xml:space="preserve"> 2016г. по Республике Татарстан составила </w:t>
      </w:r>
      <w:r w:rsidR="00835B46">
        <w:rPr>
          <w:sz w:val="24"/>
          <w:szCs w:val="24"/>
        </w:rPr>
        <w:t>3</w:t>
      </w:r>
      <w:r w:rsidR="00274247">
        <w:rPr>
          <w:sz w:val="24"/>
          <w:szCs w:val="24"/>
        </w:rPr>
        <w:t>228</w:t>
      </w:r>
      <w:r w:rsidRPr="00EB4ABE">
        <w:rPr>
          <w:sz w:val="24"/>
          <w:szCs w:val="24"/>
        </w:rPr>
        <w:t>,</w:t>
      </w:r>
      <w:r w:rsidR="00274247">
        <w:rPr>
          <w:sz w:val="24"/>
          <w:szCs w:val="24"/>
        </w:rPr>
        <w:t>12</w:t>
      </w:r>
      <w:r w:rsidRPr="00EB4ABE">
        <w:rPr>
          <w:sz w:val="24"/>
          <w:szCs w:val="24"/>
        </w:rPr>
        <w:t xml:space="preserve"> рубл</w:t>
      </w:r>
      <w:r w:rsidR="00274247">
        <w:rPr>
          <w:sz w:val="24"/>
          <w:szCs w:val="24"/>
        </w:rPr>
        <w:t>ей</w:t>
      </w:r>
      <w:r w:rsidRPr="00EB4ABE">
        <w:rPr>
          <w:sz w:val="24"/>
          <w:szCs w:val="24"/>
        </w:rPr>
        <w:t xml:space="preserve"> в расчете на месяц. </w:t>
      </w:r>
      <w:r w:rsidR="00040041" w:rsidRPr="00EB4ABE">
        <w:rPr>
          <w:sz w:val="24"/>
          <w:szCs w:val="24"/>
        </w:rPr>
        <w:t>По отношению к предыдущему месяц</w:t>
      </w:r>
      <w:r w:rsidR="00C73580" w:rsidRPr="00EB4ABE">
        <w:rPr>
          <w:sz w:val="24"/>
          <w:szCs w:val="24"/>
        </w:rPr>
        <w:t xml:space="preserve">у его стоимость </w:t>
      </w:r>
      <w:r w:rsidR="000A67CA">
        <w:rPr>
          <w:sz w:val="24"/>
          <w:szCs w:val="24"/>
        </w:rPr>
        <w:t>увеличилась</w:t>
      </w:r>
      <w:r w:rsidR="00C73580" w:rsidRPr="00EB4ABE">
        <w:rPr>
          <w:sz w:val="24"/>
          <w:szCs w:val="24"/>
        </w:rPr>
        <w:t xml:space="preserve"> на </w:t>
      </w:r>
      <w:r w:rsidR="00274247">
        <w:rPr>
          <w:sz w:val="24"/>
          <w:szCs w:val="24"/>
        </w:rPr>
        <w:t>1</w:t>
      </w:r>
      <w:r w:rsidR="00040041" w:rsidRPr="00EB4ABE">
        <w:rPr>
          <w:sz w:val="24"/>
          <w:szCs w:val="24"/>
        </w:rPr>
        <w:t>,</w:t>
      </w:r>
      <w:r w:rsidR="00835B46">
        <w:rPr>
          <w:sz w:val="24"/>
          <w:szCs w:val="24"/>
        </w:rPr>
        <w:t>1</w:t>
      </w:r>
      <w:r w:rsidR="00C73580" w:rsidRPr="00EB4ABE">
        <w:rPr>
          <w:sz w:val="24"/>
          <w:szCs w:val="24"/>
        </w:rPr>
        <w:t xml:space="preserve">%, к декабрю 2015г. </w:t>
      </w:r>
      <w:r w:rsidR="00274247">
        <w:rPr>
          <w:sz w:val="24"/>
          <w:szCs w:val="24"/>
        </w:rPr>
        <w:t>повысилась  на 2</w:t>
      </w:r>
      <w:r w:rsidR="00040041" w:rsidRPr="00EB4ABE">
        <w:rPr>
          <w:sz w:val="24"/>
          <w:szCs w:val="24"/>
        </w:rPr>
        <w:t>,</w:t>
      </w:r>
      <w:r w:rsidR="000A67CA">
        <w:rPr>
          <w:sz w:val="24"/>
          <w:szCs w:val="24"/>
        </w:rPr>
        <w:t>5</w:t>
      </w:r>
      <w:r w:rsidR="00040041" w:rsidRPr="00EB4ABE">
        <w:rPr>
          <w:sz w:val="24"/>
          <w:szCs w:val="24"/>
        </w:rPr>
        <w:t>%</w:t>
      </w:r>
      <w:r w:rsidRPr="00EB4ABE">
        <w:rPr>
          <w:sz w:val="24"/>
          <w:szCs w:val="24"/>
          <w:vertAlign w:val="superscript"/>
        </w:rPr>
        <w:t>2)</w:t>
      </w:r>
      <w:r w:rsidRPr="00EB4ABE">
        <w:rPr>
          <w:sz w:val="24"/>
          <w:szCs w:val="24"/>
        </w:rPr>
        <w:t>.</w:t>
      </w:r>
    </w:p>
    <w:p w:rsidR="00D43318" w:rsidRPr="00432D25" w:rsidRDefault="00D43318" w:rsidP="00D43318">
      <w:pPr>
        <w:widowControl w:val="0"/>
        <w:autoSpaceDE/>
        <w:autoSpaceDN/>
        <w:adjustRightInd/>
        <w:ind w:right="113" w:firstLine="0"/>
        <w:jc w:val="right"/>
        <w:rPr>
          <w:b/>
          <w:i/>
          <w:sz w:val="20"/>
          <w:szCs w:val="20"/>
        </w:rPr>
      </w:pPr>
      <w:r w:rsidRPr="00432D2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рублей</w:t>
      </w:r>
    </w:p>
    <w:tbl>
      <w:tblPr>
        <w:tblW w:w="0" w:type="auto"/>
        <w:jc w:val="center"/>
        <w:tblInd w:w="-2127" w:type="dxa"/>
        <w:tblBorders>
          <w:top w:val="double" w:sz="4" w:space="0" w:color="auto"/>
          <w:left w:val="single" w:sz="6" w:space="0" w:color="auto"/>
          <w:bottom w:val="double" w:sz="4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46"/>
        <w:gridCol w:w="1267"/>
        <w:gridCol w:w="1127"/>
        <w:gridCol w:w="1206"/>
        <w:gridCol w:w="908"/>
        <w:gridCol w:w="1343"/>
        <w:gridCol w:w="987"/>
      </w:tblGrid>
      <w:tr w:rsidR="00D43318" w:rsidRPr="0029532E" w:rsidTr="00D26BD1">
        <w:trPr>
          <w:cantSplit/>
          <w:trHeight w:val="402"/>
          <w:jc w:val="center"/>
        </w:trPr>
        <w:tc>
          <w:tcPr>
            <w:tcW w:w="3346" w:type="dxa"/>
            <w:vMerge w:val="restart"/>
            <w:tcBorders>
              <w:top w:val="double" w:sz="4" w:space="0" w:color="auto"/>
              <w:bottom w:val="nil"/>
            </w:tcBorders>
          </w:tcPr>
          <w:p w:rsidR="00D43318" w:rsidRPr="0029532E" w:rsidRDefault="00D43318" w:rsidP="00CE7228">
            <w:pPr>
              <w:widowControl w:val="0"/>
              <w:tabs>
                <w:tab w:val="left" w:pos="2214"/>
              </w:tabs>
              <w:autoSpaceDE/>
              <w:autoSpaceDN/>
              <w:adjustRightInd/>
              <w:ind w:left="9" w:firstLine="0"/>
              <w:jc w:val="lef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43318" w:rsidRPr="0029532E" w:rsidRDefault="00D26BD1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Октябрь  2016г.</w:t>
            </w:r>
          </w:p>
        </w:tc>
        <w:tc>
          <w:tcPr>
            <w:tcW w:w="211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43318" w:rsidRPr="0029532E" w:rsidRDefault="00D26BD1" w:rsidP="001A4C6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Ноябрь</w:t>
            </w:r>
            <w:r w:rsidR="001A4C68" w:rsidRPr="0029532E">
              <w:rPr>
                <w:rFonts w:ascii="Arial" w:hAnsi="Arial" w:cs="Arial"/>
                <w:sz w:val="18"/>
                <w:szCs w:val="18"/>
              </w:rPr>
              <w:t xml:space="preserve"> 2016г.</w:t>
            </w:r>
          </w:p>
        </w:tc>
        <w:tc>
          <w:tcPr>
            <w:tcW w:w="233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43318" w:rsidRPr="0029532E" w:rsidRDefault="00D43318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Справочно:</w:t>
            </w:r>
          </w:p>
          <w:p w:rsidR="00D43318" w:rsidRPr="0029532E" w:rsidRDefault="00D26BD1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ноябрь</w:t>
            </w:r>
            <w:r w:rsidR="00D43318" w:rsidRPr="0029532E">
              <w:rPr>
                <w:rFonts w:ascii="Arial" w:hAnsi="Arial" w:cs="Arial"/>
                <w:sz w:val="18"/>
                <w:szCs w:val="18"/>
              </w:rPr>
              <w:t xml:space="preserve"> 2015г.</w:t>
            </w:r>
          </w:p>
        </w:tc>
      </w:tr>
      <w:tr w:rsidR="00D43318" w:rsidRPr="0029532E" w:rsidTr="00D26BD1">
        <w:trPr>
          <w:cantSplit/>
          <w:trHeight w:val="150"/>
          <w:jc w:val="center"/>
        </w:trPr>
        <w:tc>
          <w:tcPr>
            <w:tcW w:w="3346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:rsidR="00D43318" w:rsidRPr="0029532E" w:rsidRDefault="00D43318" w:rsidP="00CE7228">
            <w:pPr>
              <w:widowControl w:val="0"/>
              <w:tabs>
                <w:tab w:val="left" w:pos="2214"/>
              </w:tabs>
              <w:autoSpaceDE/>
              <w:autoSpaceDN/>
              <w:adjustRightInd/>
              <w:ind w:left="9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bottom w:val="double" w:sz="4" w:space="0" w:color="auto"/>
            </w:tcBorders>
            <w:vAlign w:val="center"/>
          </w:tcPr>
          <w:p w:rsidR="00D43318" w:rsidRPr="0029532E" w:rsidRDefault="00D43318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</w:tc>
        <w:tc>
          <w:tcPr>
            <w:tcW w:w="1127" w:type="dxa"/>
            <w:tcBorders>
              <w:top w:val="nil"/>
              <w:bottom w:val="double" w:sz="4" w:space="0" w:color="auto"/>
            </w:tcBorders>
            <w:vAlign w:val="center"/>
          </w:tcPr>
          <w:p w:rsidR="00D43318" w:rsidRPr="0029532E" w:rsidRDefault="00D43318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ранги</w:t>
            </w:r>
          </w:p>
        </w:tc>
        <w:tc>
          <w:tcPr>
            <w:tcW w:w="1206" w:type="dxa"/>
            <w:tcBorders>
              <w:top w:val="nil"/>
              <w:bottom w:val="double" w:sz="4" w:space="0" w:color="auto"/>
            </w:tcBorders>
            <w:vAlign w:val="center"/>
          </w:tcPr>
          <w:p w:rsidR="00D43318" w:rsidRPr="0029532E" w:rsidRDefault="00D43318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</w:tc>
        <w:tc>
          <w:tcPr>
            <w:tcW w:w="908" w:type="dxa"/>
            <w:tcBorders>
              <w:top w:val="nil"/>
              <w:bottom w:val="double" w:sz="4" w:space="0" w:color="auto"/>
            </w:tcBorders>
            <w:vAlign w:val="center"/>
          </w:tcPr>
          <w:p w:rsidR="00D43318" w:rsidRPr="0029532E" w:rsidRDefault="00D43318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ранги</w:t>
            </w:r>
          </w:p>
        </w:tc>
        <w:tc>
          <w:tcPr>
            <w:tcW w:w="1343" w:type="dxa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:rsidR="00D43318" w:rsidRPr="0029532E" w:rsidRDefault="00D43318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</w:tc>
        <w:tc>
          <w:tcPr>
            <w:tcW w:w="987" w:type="dxa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:rsidR="00D43318" w:rsidRPr="0029532E" w:rsidRDefault="00D43318" w:rsidP="00CE722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ранги</w:t>
            </w:r>
          </w:p>
        </w:tc>
      </w:tr>
      <w:tr w:rsidR="00940F7E" w:rsidRPr="0029532E" w:rsidTr="002C30A0">
        <w:trPr>
          <w:cantSplit/>
          <w:trHeight w:val="184"/>
          <w:jc w:val="center"/>
        </w:trPr>
        <w:tc>
          <w:tcPr>
            <w:tcW w:w="33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3722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3741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3583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40F7E" w:rsidRPr="0029532E" w:rsidTr="002C30A0">
        <w:trPr>
          <w:cantSplit/>
          <w:trHeight w:val="108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3543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3575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3427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940F7E" w:rsidRPr="0029532E" w:rsidTr="002C30A0">
        <w:trPr>
          <w:cantSplit/>
          <w:trHeight w:val="84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3324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3378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3272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940F7E" w:rsidRPr="0029532E" w:rsidTr="002C30A0">
        <w:trPr>
          <w:cantSplit/>
          <w:trHeight w:val="182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3337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3377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3221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940F7E" w:rsidRPr="0029532E" w:rsidTr="002C30A0">
        <w:trPr>
          <w:cantSplit/>
          <w:trHeight w:val="99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Республика Марий Эл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3300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3338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3164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940F7E" w:rsidRPr="0029532E" w:rsidTr="002C30A0">
        <w:trPr>
          <w:cantSplit/>
          <w:trHeight w:val="151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3269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3318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3256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40F7E" w:rsidRPr="0029532E" w:rsidTr="002C30A0">
        <w:trPr>
          <w:cantSplit/>
          <w:trHeight w:val="136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3272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3301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3134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940F7E" w:rsidRPr="0029532E" w:rsidTr="002C30A0">
        <w:trPr>
          <w:cantSplit/>
          <w:trHeight w:val="174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3212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3278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3089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940F7E" w:rsidRPr="0029532E" w:rsidTr="002C30A0">
        <w:trPr>
          <w:cantSplit/>
          <w:trHeight w:val="92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3232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3269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3171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40F7E" w:rsidRPr="0029532E" w:rsidTr="002C30A0">
        <w:trPr>
          <w:cantSplit/>
          <w:trHeight w:val="76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Республика Татарстан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3193</w:t>
            </w:r>
            <w:r w:rsidR="00A64E26"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3228</w:t>
            </w:r>
            <w:r w:rsidR="00A64E26"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3125</w:t>
            </w:r>
            <w:r w:rsidR="00A64E26"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940F7E" w:rsidRPr="0029532E" w:rsidTr="002C30A0">
        <w:trPr>
          <w:cantSplit/>
          <w:trHeight w:val="144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3206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3227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3144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940F7E" w:rsidRPr="0029532E" w:rsidTr="002C30A0">
        <w:trPr>
          <w:cantSplit/>
          <w:trHeight w:val="67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3061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3097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2971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940F7E" w:rsidRPr="0029532E" w:rsidTr="002C30A0">
        <w:trPr>
          <w:cantSplit/>
          <w:trHeight w:val="128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3010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3018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3016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940F7E" w:rsidRPr="0029532E" w:rsidTr="002C30A0">
        <w:trPr>
          <w:cantSplit/>
          <w:trHeight w:val="188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2962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2993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2920</w:t>
            </w:r>
            <w:r w:rsidR="00A64E26" w:rsidRPr="0029532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7E" w:rsidRPr="0029532E" w:rsidRDefault="00940F7E" w:rsidP="00940F7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32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</w:tbl>
    <w:p w:rsidR="00D43318" w:rsidRPr="00633B5B" w:rsidRDefault="00D43318" w:rsidP="00D43318">
      <w:pPr>
        <w:widowControl w:val="0"/>
        <w:tabs>
          <w:tab w:val="left" w:pos="0"/>
        </w:tabs>
        <w:autoSpaceDE/>
        <w:autoSpaceDN/>
        <w:adjustRightInd/>
        <w:ind w:firstLine="0"/>
        <w:rPr>
          <w:sz w:val="14"/>
          <w:szCs w:val="14"/>
        </w:rPr>
      </w:pPr>
      <w:r w:rsidRPr="00633B5B">
        <w:rPr>
          <w:sz w:val="14"/>
          <w:szCs w:val="14"/>
          <w:vertAlign w:val="superscript"/>
        </w:rPr>
        <w:t>1)</w:t>
      </w:r>
      <w:r w:rsidRPr="00633B5B">
        <w:rPr>
          <w:sz w:val="14"/>
          <w:szCs w:val="14"/>
        </w:rPr>
        <w:t xml:space="preserve"> Стоимость условного (минимального) набора продуктов питания отражает межрегиональную дифференциацию уровней потребительских цен на продукты питания, входящие в него</w:t>
      </w:r>
      <w:r w:rsidR="00A41D52">
        <w:rPr>
          <w:sz w:val="14"/>
          <w:szCs w:val="14"/>
        </w:rPr>
        <w:t>,</w:t>
      </w:r>
      <w:r w:rsidRPr="00633B5B">
        <w:rPr>
          <w:sz w:val="14"/>
          <w:szCs w:val="14"/>
        </w:rPr>
        <w:t xml:space="preserve"> При ее расчете используются единые, установленные в целом по Российской Федерации, условные объемы потребления продуктов питания и средние потребительские цены на них по субъектам Российской Федерации</w:t>
      </w:r>
      <w:r w:rsidR="003A1637">
        <w:rPr>
          <w:sz w:val="14"/>
          <w:szCs w:val="14"/>
        </w:rPr>
        <w:t>.</w:t>
      </w:r>
    </w:p>
    <w:p w:rsidR="003A1637" w:rsidRPr="00157BCF" w:rsidRDefault="00D43318" w:rsidP="003A1637">
      <w:pPr>
        <w:tabs>
          <w:tab w:val="left" w:pos="851"/>
        </w:tabs>
        <w:ind w:firstLine="0"/>
        <w:rPr>
          <w:b/>
          <w:i/>
          <w:spacing w:val="-16"/>
        </w:rPr>
      </w:pPr>
      <w:r w:rsidRPr="00633B5B">
        <w:rPr>
          <w:rFonts w:ascii="Times New Roman CYR" w:hAnsi="Times New Roman CYR" w:cs="Times New Roman CYR"/>
          <w:bCs/>
          <w:sz w:val="14"/>
          <w:szCs w:val="14"/>
          <w:vertAlign w:val="superscript"/>
        </w:rPr>
        <w:t xml:space="preserve">2) </w:t>
      </w:r>
      <w:r w:rsidRPr="00633B5B">
        <w:rPr>
          <w:rFonts w:ascii="Times New Roman CYR" w:hAnsi="Times New Roman CYR" w:cs="Times New Roman CYR"/>
          <w:bCs/>
          <w:sz w:val="14"/>
          <w:szCs w:val="14"/>
        </w:rPr>
        <w:t>Расчет изменения стоимости набора осуществлен на основе сопоставимых цен на товары, входящи</w:t>
      </w:r>
      <w:r w:rsidR="00544691">
        <w:rPr>
          <w:rFonts w:ascii="Times New Roman CYR" w:hAnsi="Times New Roman CYR" w:cs="Times New Roman CYR"/>
          <w:bCs/>
          <w:sz w:val="14"/>
          <w:szCs w:val="14"/>
        </w:rPr>
        <w:t>х</w:t>
      </w:r>
      <w:r w:rsidRPr="00633B5B">
        <w:rPr>
          <w:rFonts w:ascii="Times New Roman CYR" w:hAnsi="Times New Roman CYR" w:cs="Times New Roman CYR"/>
          <w:bCs/>
          <w:sz w:val="14"/>
          <w:szCs w:val="14"/>
        </w:rPr>
        <w:t xml:space="preserve"> в него</w:t>
      </w:r>
      <w:r w:rsidR="003A1637">
        <w:rPr>
          <w:rFonts w:ascii="Times New Roman CYR" w:hAnsi="Times New Roman CYR" w:cs="Times New Roman CYR"/>
          <w:bCs/>
          <w:sz w:val="14"/>
          <w:szCs w:val="14"/>
        </w:rPr>
        <w:t>.</w:t>
      </w:r>
    </w:p>
    <w:p w:rsidR="00D43318" w:rsidRPr="00D43318" w:rsidRDefault="00D43318" w:rsidP="008A5168">
      <w:pPr>
        <w:widowControl w:val="0"/>
        <w:tabs>
          <w:tab w:val="left" w:pos="0"/>
        </w:tabs>
        <w:autoSpaceDE/>
        <w:autoSpaceDN/>
        <w:adjustRightInd/>
        <w:spacing w:line="360" w:lineRule="auto"/>
        <w:ind w:firstLine="0"/>
        <w:jc w:val="center"/>
        <w:outlineLvl w:val="0"/>
        <w:rPr>
          <w:b/>
          <w:i/>
          <w:spacing w:val="-16"/>
          <w:sz w:val="26"/>
          <w:szCs w:val="26"/>
        </w:rPr>
      </w:pPr>
    </w:p>
    <w:p w:rsidR="00D71A6C" w:rsidRDefault="00D71A6C" w:rsidP="008A5168">
      <w:pPr>
        <w:widowControl w:val="0"/>
        <w:tabs>
          <w:tab w:val="left" w:pos="0"/>
        </w:tabs>
        <w:autoSpaceDE/>
        <w:autoSpaceDN/>
        <w:adjustRightInd/>
        <w:spacing w:line="360" w:lineRule="auto"/>
        <w:ind w:firstLine="0"/>
        <w:jc w:val="center"/>
        <w:outlineLvl w:val="0"/>
        <w:rPr>
          <w:b/>
          <w:i/>
          <w:spacing w:val="-16"/>
          <w:sz w:val="26"/>
          <w:szCs w:val="26"/>
        </w:rPr>
      </w:pPr>
    </w:p>
    <w:p w:rsidR="00E96AFC" w:rsidRDefault="00E96AFC" w:rsidP="008A5168">
      <w:pPr>
        <w:widowControl w:val="0"/>
        <w:tabs>
          <w:tab w:val="left" w:pos="0"/>
        </w:tabs>
        <w:autoSpaceDE/>
        <w:autoSpaceDN/>
        <w:adjustRightInd/>
        <w:spacing w:line="360" w:lineRule="auto"/>
        <w:ind w:firstLine="0"/>
        <w:jc w:val="center"/>
        <w:outlineLvl w:val="0"/>
        <w:rPr>
          <w:b/>
          <w:i/>
          <w:spacing w:val="-16"/>
          <w:sz w:val="26"/>
          <w:szCs w:val="26"/>
        </w:rPr>
      </w:pPr>
    </w:p>
    <w:p w:rsidR="00E96AFC" w:rsidRPr="00D43318" w:rsidRDefault="00E96AFC" w:rsidP="008A5168">
      <w:pPr>
        <w:widowControl w:val="0"/>
        <w:tabs>
          <w:tab w:val="left" w:pos="0"/>
        </w:tabs>
        <w:autoSpaceDE/>
        <w:autoSpaceDN/>
        <w:adjustRightInd/>
        <w:spacing w:line="360" w:lineRule="auto"/>
        <w:ind w:firstLine="0"/>
        <w:jc w:val="center"/>
        <w:outlineLvl w:val="0"/>
        <w:rPr>
          <w:b/>
          <w:i/>
          <w:spacing w:val="-16"/>
          <w:sz w:val="26"/>
          <w:szCs w:val="26"/>
        </w:rPr>
      </w:pPr>
    </w:p>
    <w:p w:rsidR="00D43318" w:rsidRPr="00443A05" w:rsidRDefault="00D43318" w:rsidP="00D43318">
      <w:pPr>
        <w:autoSpaceDE/>
        <w:autoSpaceDN/>
        <w:adjustRightInd/>
        <w:ind w:right="74" w:firstLine="708"/>
        <w:rPr>
          <w:rFonts w:eastAsia="Calibri"/>
          <w:b/>
          <w:bCs/>
          <w:i/>
          <w:sz w:val="24"/>
          <w:szCs w:val="24"/>
          <w:lang w:eastAsia="en-US"/>
        </w:rPr>
      </w:pPr>
      <w:r w:rsidRPr="00443A05">
        <w:rPr>
          <w:rFonts w:eastAsia="Calibri"/>
          <w:b/>
          <w:bCs/>
          <w:i/>
          <w:sz w:val="24"/>
          <w:szCs w:val="24"/>
          <w:lang w:eastAsia="en-US"/>
        </w:rPr>
        <w:t xml:space="preserve">Структура стоимости условного (минимального) набора продуктов питания </w:t>
      </w:r>
    </w:p>
    <w:p w:rsidR="00D43318" w:rsidRPr="00443A05" w:rsidRDefault="00D43318" w:rsidP="00D43318">
      <w:pPr>
        <w:tabs>
          <w:tab w:val="num" w:pos="-2808"/>
          <w:tab w:val="right" w:pos="9355"/>
        </w:tabs>
        <w:autoSpaceDE/>
        <w:autoSpaceDN/>
        <w:adjustRightInd/>
        <w:ind w:firstLine="0"/>
        <w:jc w:val="left"/>
        <w:rPr>
          <w:rFonts w:eastAsia="Calibri"/>
          <w:b/>
          <w:bCs/>
          <w:i/>
          <w:sz w:val="24"/>
          <w:szCs w:val="24"/>
          <w:lang w:eastAsia="en-US"/>
        </w:rPr>
      </w:pPr>
      <w:r w:rsidRPr="00443A05">
        <w:rPr>
          <w:rFonts w:eastAsia="Calibri"/>
          <w:b/>
          <w:bCs/>
          <w:i/>
          <w:sz w:val="24"/>
          <w:szCs w:val="24"/>
          <w:lang w:eastAsia="en-US"/>
        </w:rPr>
        <w:t>в расчете на 1 человека в месяц, в процентах</w:t>
      </w:r>
    </w:p>
    <w:p w:rsidR="00D43318" w:rsidRPr="00157BCF" w:rsidRDefault="00D43318" w:rsidP="00D43318">
      <w:pPr>
        <w:tabs>
          <w:tab w:val="left" w:pos="851"/>
        </w:tabs>
        <w:ind w:firstLine="0"/>
        <w:rPr>
          <w:rFonts w:ascii="Times New Roman CYR" w:hAnsi="Times New Roman CYR" w:cs="Times New Roman CYR"/>
          <w:bCs/>
          <w:sz w:val="14"/>
          <w:szCs w:val="14"/>
        </w:rPr>
      </w:pPr>
    </w:p>
    <w:p w:rsidR="00D43318" w:rsidRPr="00D43318" w:rsidRDefault="00D43318" w:rsidP="00D43318">
      <w:pPr>
        <w:widowControl w:val="0"/>
        <w:tabs>
          <w:tab w:val="left" w:pos="0"/>
        </w:tabs>
        <w:autoSpaceDE/>
        <w:autoSpaceDN/>
        <w:adjustRightInd/>
        <w:spacing w:line="360" w:lineRule="auto"/>
        <w:ind w:firstLine="0"/>
        <w:jc w:val="center"/>
        <w:outlineLvl w:val="0"/>
        <w:rPr>
          <w:b/>
          <w:i/>
          <w:spacing w:val="-16"/>
          <w:sz w:val="26"/>
          <w:szCs w:val="26"/>
        </w:rPr>
      </w:pPr>
      <w:r>
        <w:rPr>
          <w:noProof/>
        </w:rPr>
        <w:drawing>
          <wp:inline distT="0" distB="0" distL="0" distR="0">
            <wp:extent cx="6443330" cy="261560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006B" w:rsidRPr="00633B5B" w:rsidRDefault="0098006B" w:rsidP="0098006B">
      <w:pPr>
        <w:widowControl w:val="0"/>
        <w:tabs>
          <w:tab w:val="left" w:pos="0"/>
        </w:tabs>
        <w:autoSpaceDE/>
        <w:autoSpaceDN/>
        <w:adjustRightInd/>
        <w:spacing w:line="360" w:lineRule="auto"/>
        <w:ind w:firstLine="0"/>
        <w:jc w:val="center"/>
        <w:outlineLvl w:val="0"/>
        <w:rPr>
          <w:i/>
          <w:sz w:val="26"/>
          <w:szCs w:val="26"/>
        </w:rPr>
      </w:pPr>
      <w:r w:rsidRPr="00633B5B">
        <w:rPr>
          <w:b/>
          <w:i/>
          <w:spacing w:val="-16"/>
          <w:sz w:val="26"/>
          <w:szCs w:val="26"/>
        </w:rPr>
        <w:t>Стоимость фиксированного набора потребительских товаров и услуг</w:t>
      </w:r>
    </w:p>
    <w:p w:rsidR="0098006B" w:rsidRPr="00633B5B" w:rsidRDefault="0098006B" w:rsidP="0098006B">
      <w:pPr>
        <w:widowControl w:val="0"/>
        <w:autoSpaceDE/>
        <w:autoSpaceDN/>
        <w:adjustRightInd/>
        <w:rPr>
          <w:sz w:val="24"/>
          <w:szCs w:val="24"/>
        </w:rPr>
      </w:pPr>
      <w:r w:rsidRPr="00633B5B">
        <w:rPr>
          <w:sz w:val="24"/>
          <w:szCs w:val="24"/>
        </w:rPr>
        <w:t>Стоимость набора по РФ и отдельным регионам исчисляется на основе единых объемов потребления</w:t>
      </w:r>
      <w:r w:rsidR="00C4542F">
        <w:rPr>
          <w:sz w:val="24"/>
          <w:szCs w:val="24"/>
        </w:rPr>
        <w:t>.</w:t>
      </w:r>
      <w:r w:rsidRPr="00633B5B">
        <w:rPr>
          <w:sz w:val="24"/>
          <w:szCs w:val="24"/>
        </w:rPr>
        <w:t xml:space="preserve"> В набор включены 83 наименования товаров и услуг, в том числе 30 видов продовольственных товаров, 41 вид непродовольственных товаров и 12 видов услуг</w:t>
      </w:r>
      <w:r w:rsidR="001C58CF" w:rsidRPr="001C58CF">
        <w:rPr>
          <w:sz w:val="24"/>
          <w:szCs w:val="24"/>
        </w:rPr>
        <w:t>.</w:t>
      </w:r>
    </w:p>
    <w:p w:rsidR="0098006B" w:rsidRPr="001C58CF" w:rsidRDefault="0098006B" w:rsidP="0098006B">
      <w:pPr>
        <w:widowControl w:val="0"/>
        <w:autoSpaceDE/>
        <w:autoSpaceDN/>
        <w:adjustRightInd/>
        <w:rPr>
          <w:sz w:val="24"/>
          <w:szCs w:val="24"/>
        </w:rPr>
      </w:pPr>
      <w:r w:rsidRPr="00633B5B">
        <w:rPr>
          <w:sz w:val="24"/>
          <w:szCs w:val="24"/>
        </w:rPr>
        <w:t xml:space="preserve">Показатель позволяет </w:t>
      </w:r>
      <w:r w:rsidR="00C4542F" w:rsidRPr="00633B5B">
        <w:rPr>
          <w:sz w:val="24"/>
          <w:szCs w:val="24"/>
        </w:rPr>
        <w:t xml:space="preserve">в определенной мере </w:t>
      </w:r>
      <w:r w:rsidRPr="00633B5B">
        <w:rPr>
          <w:sz w:val="24"/>
          <w:szCs w:val="24"/>
        </w:rPr>
        <w:t>охарактеризовать уровень материального благосостояния населения – покупательную способность денежных доходов, которая отражает возможности населения по приобретению товаров и услуг (фиксированного набора)</w:t>
      </w:r>
      <w:r w:rsidR="001C58CF" w:rsidRPr="001C58CF">
        <w:rPr>
          <w:sz w:val="24"/>
          <w:szCs w:val="24"/>
        </w:rPr>
        <w:t>.</w:t>
      </w:r>
    </w:p>
    <w:p w:rsidR="0098006B" w:rsidRDefault="0098006B" w:rsidP="0098006B">
      <w:pPr>
        <w:widowControl w:val="0"/>
        <w:autoSpaceDE/>
        <w:autoSpaceDN/>
        <w:adjustRightInd/>
        <w:rPr>
          <w:b/>
          <w:i/>
          <w:sz w:val="24"/>
          <w:szCs w:val="24"/>
        </w:rPr>
      </w:pPr>
    </w:p>
    <w:p w:rsidR="0098006B" w:rsidRPr="00633B5B" w:rsidRDefault="0098006B" w:rsidP="0098006B">
      <w:pPr>
        <w:widowControl w:val="0"/>
        <w:autoSpaceDE/>
        <w:autoSpaceDN/>
        <w:adjustRightInd/>
        <w:rPr>
          <w:b/>
          <w:i/>
          <w:sz w:val="24"/>
          <w:szCs w:val="24"/>
        </w:rPr>
      </w:pPr>
      <w:r w:rsidRPr="00633B5B">
        <w:rPr>
          <w:b/>
          <w:i/>
          <w:sz w:val="24"/>
          <w:szCs w:val="24"/>
        </w:rPr>
        <w:t xml:space="preserve">Стоимость фиксированного набора потребительских товаров и услуг и покупательная способность денежных доходов в </w:t>
      </w:r>
      <w:r w:rsidR="004476A6">
        <w:rPr>
          <w:b/>
          <w:i/>
          <w:sz w:val="24"/>
          <w:szCs w:val="24"/>
        </w:rPr>
        <w:t>октябре</w:t>
      </w:r>
      <w:r w:rsidRPr="00633B5B">
        <w:rPr>
          <w:b/>
          <w:i/>
          <w:sz w:val="24"/>
          <w:szCs w:val="24"/>
        </w:rPr>
        <w:t>201</w:t>
      </w:r>
      <w:r>
        <w:rPr>
          <w:b/>
          <w:i/>
          <w:sz w:val="24"/>
          <w:szCs w:val="24"/>
        </w:rPr>
        <w:t>6</w:t>
      </w:r>
      <w:r w:rsidRPr="00633B5B">
        <w:rPr>
          <w:b/>
          <w:i/>
          <w:sz w:val="24"/>
          <w:szCs w:val="24"/>
        </w:rPr>
        <w:t>г</w:t>
      </w:r>
      <w:r w:rsidR="001C58CF" w:rsidRPr="001C58CF">
        <w:rPr>
          <w:b/>
          <w:i/>
          <w:sz w:val="24"/>
          <w:szCs w:val="24"/>
        </w:rPr>
        <w:t>.</w:t>
      </w:r>
      <w:r w:rsidRPr="00633B5B">
        <w:rPr>
          <w:b/>
          <w:i/>
          <w:sz w:val="24"/>
          <w:szCs w:val="24"/>
          <w:vertAlign w:val="superscript"/>
        </w:rPr>
        <w:t>1)</w:t>
      </w:r>
      <w:r w:rsidRPr="00633B5B">
        <w:rPr>
          <w:b/>
          <w:i/>
          <w:sz w:val="24"/>
          <w:szCs w:val="24"/>
        </w:rPr>
        <w:t xml:space="preserve"> составила:</w:t>
      </w:r>
    </w:p>
    <w:tbl>
      <w:tblPr>
        <w:tblW w:w="0" w:type="auto"/>
        <w:tblInd w:w="10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134"/>
        <w:gridCol w:w="992"/>
        <w:gridCol w:w="1276"/>
        <w:gridCol w:w="1276"/>
        <w:gridCol w:w="1417"/>
        <w:gridCol w:w="1519"/>
      </w:tblGrid>
      <w:tr w:rsidR="0098006B" w:rsidRPr="0029532E" w:rsidTr="00D9281C">
        <w:trPr>
          <w:cantSplit/>
          <w:trHeight w:val="520"/>
        </w:trPr>
        <w:tc>
          <w:tcPr>
            <w:tcW w:w="2552" w:type="dxa"/>
            <w:vMerge w:val="restart"/>
          </w:tcPr>
          <w:p w:rsidR="0098006B" w:rsidRPr="0029532E" w:rsidRDefault="0098006B" w:rsidP="00580011">
            <w:pPr>
              <w:keepNext/>
              <w:autoSpaceDE/>
              <w:autoSpaceDN/>
              <w:adjustRightInd/>
              <w:spacing w:line="216" w:lineRule="auto"/>
              <w:ind w:left="-57" w:right="-57" w:firstLine="0"/>
              <w:outlineLvl w:val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8006B" w:rsidRPr="0029532E" w:rsidRDefault="0098006B" w:rsidP="00580011">
            <w:pPr>
              <w:keepNext/>
              <w:autoSpaceDE/>
              <w:autoSpaceDN/>
              <w:adjustRightInd/>
              <w:spacing w:line="216" w:lineRule="auto"/>
              <w:ind w:left="-57" w:right="-57" w:firstLine="0"/>
              <w:jc w:val="center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Стоимость набора</w:t>
            </w:r>
          </w:p>
        </w:tc>
        <w:tc>
          <w:tcPr>
            <w:tcW w:w="1276" w:type="dxa"/>
            <w:vMerge w:val="restart"/>
            <w:vAlign w:val="center"/>
          </w:tcPr>
          <w:p w:rsidR="0098006B" w:rsidRPr="0029532E" w:rsidRDefault="0098006B" w:rsidP="00580011">
            <w:pPr>
              <w:autoSpaceDE/>
              <w:autoSpaceDN/>
              <w:adjustRightInd/>
              <w:spacing w:before="20" w:line="216" w:lineRule="auto"/>
              <w:ind w:left="-108" w:right="-72" w:firstLine="0"/>
              <w:jc w:val="center"/>
              <w:rPr>
                <w:rFonts w:ascii="Arial" w:hAnsi="Arial" w:cs="Arial"/>
                <w:spacing w:val="-10"/>
                <w:sz w:val="18"/>
                <w:szCs w:val="18"/>
                <w:lang w:val="ur-PK"/>
              </w:rPr>
            </w:pPr>
            <w:r w:rsidRPr="0029532E">
              <w:rPr>
                <w:rFonts w:ascii="Arial" w:hAnsi="Arial" w:cs="Arial"/>
                <w:spacing w:val="-10"/>
                <w:sz w:val="18"/>
                <w:szCs w:val="18"/>
                <w:lang w:val="ur-PK"/>
              </w:rPr>
              <w:t>Измен</w:t>
            </w:r>
            <w:r w:rsidR="00A41D52" w:rsidRPr="0029532E">
              <w:rPr>
                <w:rFonts w:ascii="Arial" w:hAnsi="Arial" w:cs="Arial"/>
                <w:spacing w:val="-10"/>
                <w:sz w:val="18"/>
                <w:szCs w:val="18"/>
                <w:lang w:val="ur-PK"/>
              </w:rPr>
              <w:t>,</w:t>
            </w:r>
            <w:r w:rsidRPr="0029532E">
              <w:rPr>
                <w:rFonts w:ascii="Arial" w:hAnsi="Arial" w:cs="Arial"/>
                <w:spacing w:val="-10"/>
                <w:sz w:val="18"/>
                <w:szCs w:val="18"/>
                <w:lang w:val="ur-PK"/>
              </w:rPr>
              <w:t xml:space="preserve"> набора</w:t>
            </w:r>
          </w:p>
          <w:p w:rsidR="0098006B" w:rsidRPr="0029532E" w:rsidRDefault="0098006B" w:rsidP="00580011">
            <w:pPr>
              <w:widowControl w:val="0"/>
              <w:autoSpaceDE/>
              <w:autoSpaceDN/>
              <w:adjustRightInd/>
              <w:spacing w:before="20" w:line="216" w:lineRule="auto"/>
              <w:ind w:left="-57"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в % к дек</w:t>
            </w:r>
            <w:r w:rsidR="00A41D52" w:rsidRPr="0029532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8006B" w:rsidRPr="0029532E" w:rsidRDefault="0098006B" w:rsidP="001C58CF">
            <w:pPr>
              <w:widowControl w:val="0"/>
              <w:autoSpaceDE/>
              <w:autoSpaceDN/>
              <w:adjustRightInd/>
              <w:spacing w:before="20" w:line="216" w:lineRule="auto"/>
              <w:ind w:left="-57"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2015г</w:t>
            </w:r>
            <w:r w:rsidR="001C58CF" w:rsidRPr="0029532E">
              <w:rPr>
                <w:rFonts w:ascii="Arial" w:hAnsi="Arial" w:cs="Arial"/>
                <w:sz w:val="18"/>
                <w:szCs w:val="18"/>
              </w:rPr>
              <w:t>.</w:t>
            </w:r>
            <w:r w:rsidRPr="0029532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4212" w:type="dxa"/>
            <w:gridSpan w:val="3"/>
            <w:vAlign w:val="center"/>
          </w:tcPr>
          <w:p w:rsidR="0098006B" w:rsidRPr="0029532E" w:rsidRDefault="0098006B" w:rsidP="00580011">
            <w:pPr>
              <w:keepNext/>
              <w:autoSpaceDE/>
              <w:autoSpaceDN/>
              <w:adjustRightInd/>
              <w:spacing w:before="20" w:line="216" w:lineRule="auto"/>
              <w:ind w:right="-113" w:firstLine="0"/>
              <w:jc w:val="center"/>
              <w:outlineLvl w:val="8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Покупательная способность денежных доходов,</w:t>
            </w:r>
          </w:p>
          <w:p w:rsidR="0098006B" w:rsidRPr="0029532E" w:rsidRDefault="0098006B" w:rsidP="00580011">
            <w:pPr>
              <w:keepNext/>
              <w:autoSpaceDE/>
              <w:autoSpaceDN/>
              <w:adjustRightInd/>
              <w:spacing w:before="20" w:line="216" w:lineRule="auto"/>
              <w:ind w:left="-113" w:right="-113" w:firstLine="0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(количество наборов)</w:t>
            </w:r>
          </w:p>
        </w:tc>
      </w:tr>
      <w:tr w:rsidR="0098006B" w:rsidRPr="0029532E" w:rsidTr="00D9281C">
        <w:trPr>
          <w:cantSplit/>
          <w:trHeight w:val="149"/>
        </w:trPr>
        <w:tc>
          <w:tcPr>
            <w:tcW w:w="2552" w:type="dxa"/>
            <w:vMerge/>
          </w:tcPr>
          <w:p w:rsidR="0098006B" w:rsidRPr="0029532E" w:rsidRDefault="0098006B" w:rsidP="0058001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autoSpaceDE/>
              <w:autoSpaceDN/>
              <w:adjustRightInd/>
              <w:spacing w:line="216" w:lineRule="auto"/>
              <w:ind w:left="-57" w:right="-57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006B" w:rsidRPr="0029532E" w:rsidRDefault="0098006B" w:rsidP="00580011">
            <w:pPr>
              <w:keepNext/>
              <w:autoSpaceDE/>
              <w:autoSpaceDN/>
              <w:adjustRightInd/>
              <w:spacing w:line="216" w:lineRule="auto"/>
              <w:ind w:left="-57" w:right="-113" w:firstLine="0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vMerge w:val="restart"/>
            <w:vAlign w:val="center"/>
          </w:tcPr>
          <w:p w:rsidR="0098006B" w:rsidRPr="0029532E" w:rsidRDefault="0098006B" w:rsidP="00580011">
            <w:pPr>
              <w:keepNext/>
              <w:autoSpaceDE/>
              <w:autoSpaceDN/>
              <w:adjustRightInd/>
              <w:spacing w:line="216" w:lineRule="auto"/>
              <w:ind w:right="-57" w:firstLine="0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в % к РФ</w:t>
            </w:r>
          </w:p>
        </w:tc>
        <w:tc>
          <w:tcPr>
            <w:tcW w:w="1276" w:type="dxa"/>
            <w:vMerge/>
          </w:tcPr>
          <w:p w:rsidR="0098006B" w:rsidRPr="0029532E" w:rsidRDefault="0098006B" w:rsidP="0058001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autoSpaceDE/>
              <w:autoSpaceDN/>
              <w:adjustRightInd/>
              <w:spacing w:line="216" w:lineRule="auto"/>
              <w:ind w:left="-57" w:right="-57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006B" w:rsidRPr="0029532E" w:rsidRDefault="004476A6" w:rsidP="00F36A9C">
            <w:pPr>
              <w:keepNext/>
              <w:autoSpaceDE/>
              <w:autoSpaceDN/>
              <w:adjustRightInd/>
              <w:spacing w:line="216" w:lineRule="auto"/>
              <w:ind w:right="-57" w:firstLine="0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Октябрь</w:t>
            </w:r>
          </w:p>
          <w:p w:rsidR="0098006B" w:rsidRPr="0029532E" w:rsidRDefault="0098006B" w:rsidP="001C58CF">
            <w:pPr>
              <w:keepNext/>
              <w:autoSpaceDE/>
              <w:autoSpaceDN/>
              <w:adjustRightInd/>
              <w:spacing w:line="216" w:lineRule="auto"/>
              <w:ind w:right="-57" w:firstLine="0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2016г</w:t>
            </w:r>
            <w:r w:rsidR="001C58CF" w:rsidRPr="0029532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9532E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2936" w:type="dxa"/>
            <w:gridSpan w:val="2"/>
            <w:vAlign w:val="center"/>
          </w:tcPr>
          <w:p w:rsidR="0098006B" w:rsidRPr="0029532E" w:rsidRDefault="0098006B" w:rsidP="00580011">
            <w:pPr>
              <w:keepNext/>
              <w:autoSpaceDE/>
              <w:autoSpaceDN/>
              <w:adjustRightInd/>
              <w:spacing w:line="216" w:lineRule="auto"/>
              <w:ind w:right="-113" w:firstLine="0"/>
              <w:jc w:val="center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Справочно:</w:t>
            </w:r>
          </w:p>
        </w:tc>
      </w:tr>
      <w:tr w:rsidR="0098006B" w:rsidRPr="0029532E" w:rsidTr="00D9281C">
        <w:trPr>
          <w:cantSplit/>
          <w:trHeight w:val="238"/>
        </w:trPr>
        <w:tc>
          <w:tcPr>
            <w:tcW w:w="2552" w:type="dxa"/>
            <w:vMerge/>
          </w:tcPr>
          <w:p w:rsidR="0098006B" w:rsidRPr="0029532E" w:rsidRDefault="0098006B" w:rsidP="0058001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autoSpaceDE/>
              <w:autoSpaceDN/>
              <w:adjustRightInd/>
              <w:spacing w:line="216" w:lineRule="auto"/>
              <w:ind w:left="-57" w:right="-57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8006B" w:rsidRPr="0029532E" w:rsidRDefault="0098006B" w:rsidP="0058001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autoSpaceDE/>
              <w:autoSpaceDN/>
              <w:adjustRightInd/>
              <w:spacing w:line="216" w:lineRule="auto"/>
              <w:ind w:left="-57" w:right="-113"/>
              <w:jc w:val="center"/>
              <w:outlineLvl w:val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8006B" w:rsidRPr="0029532E" w:rsidRDefault="0098006B" w:rsidP="0058001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autoSpaceDE/>
              <w:autoSpaceDN/>
              <w:adjustRightInd/>
              <w:spacing w:line="216" w:lineRule="auto"/>
              <w:ind w:left="-57" w:right="-57"/>
              <w:jc w:val="center"/>
              <w:outlineLvl w:val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006B" w:rsidRPr="0029532E" w:rsidRDefault="0098006B" w:rsidP="0058001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autoSpaceDE/>
              <w:autoSpaceDN/>
              <w:adjustRightInd/>
              <w:spacing w:line="216" w:lineRule="auto"/>
              <w:ind w:left="-57" w:right="-57"/>
              <w:jc w:val="center"/>
              <w:outlineLvl w:val="8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8006B" w:rsidRPr="0029532E" w:rsidRDefault="0098006B" w:rsidP="0058001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autoSpaceDE/>
              <w:autoSpaceDN/>
              <w:adjustRightInd/>
              <w:spacing w:line="216" w:lineRule="auto"/>
              <w:ind w:left="-57" w:right="-57"/>
              <w:jc w:val="center"/>
              <w:outlineLvl w:val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8006B" w:rsidRPr="0029532E" w:rsidRDefault="004476A6" w:rsidP="00580011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октябрь</w:t>
            </w:r>
          </w:p>
          <w:p w:rsidR="0098006B" w:rsidRPr="0029532E" w:rsidRDefault="0098006B" w:rsidP="001C58CF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 xml:space="preserve"> 2015г</w:t>
            </w:r>
            <w:r w:rsidR="001C58CF" w:rsidRPr="0029532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519" w:type="dxa"/>
            <w:vAlign w:val="center"/>
          </w:tcPr>
          <w:p w:rsidR="0098006B" w:rsidRPr="0029532E" w:rsidRDefault="0098006B" w:rsidP="001C58CF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декабрь  2015г</w:t>
            </w:r>
            <w:r w:rsidR="001C58CF" w:rsidRPr="0029532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35673B" w:rsidRPr="0029532E" w:rsidTr="00B9303A">
        <w:trPr>
          <w:cantSplit/>
          <w:trHeight w:val="1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5673B" w:rsidRPr="0029532E" w:rsidRDefault="0035673B" w:rsidP="0035673B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5673B" w:rsidRPr="0029532E" w:rsidRDefault="0035673B" w:rsidP="00E904DD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14091</w:t>
            </w:r>
            <w:r w:rsidR="00A64E26"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5673B" w:rsidRPr="0029532E" w:rsidRDefault="0035673B" w:rsidP="00E904DD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A64E26"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35673B" w:rsidRPr="0029532E" w:rsidRDefault="0035673B" w:rsidP="00E904DD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105</w:t>
            </w:r>
            <w:r w:rsidR="00A64E26"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35673B" w:rsidRPr="0029532E" w:rsidRDefault="0035673B" w:rsidP="00E904DD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35673B" w:rsidRPr="0029532E" w:rsidRDefault="0035673B" w:rsidP="00E904DD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bottom"/>
          </w:tcPr>
          <w:p w:rsidR="0035673B" w:rsidRPr="0029532E" w:rsidRDefault="0035673B" w:rsidP="00E904DD">
            <w:pPr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</w:tr>
      <w:tr w:rsidR="00B9303A" w:rsidRPr="0029532E" w:rsidTr="00EA4699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Нижегородская область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13782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97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106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3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B9303A" w:rsidRPr="0029532E" w:rsidTr="00EA4699">
        <w:trPr>
          <w:cantSplit/>
          <w:trHeight w:val="197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Самарская область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13717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97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105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B9303A" w:rsidRPr="0029532E" w:rsidTr="00D42337">
        <w:trPr>
          <w:cantSplit/>
          <w:trHeight w:val="1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Пермский край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13497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95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104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3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B9303A" w:rsidRPr="0029532E" w:rsidTr="00EA4699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Кировская область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13077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92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104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B9303A" w:rsidRPr="0029532E" w:rsidTr="00EA4699">
        <w:trPr>
          <w:cantSplit/>
          <w:trHeight w:val="197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13006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92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106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3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B9303A" w:rsidRPr="0029532E" w:rsidTr="00EA4699">
        <w:trPr>
          <w:cantSplit/>
          <w:trHeight w:val="197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Удмуртская Республика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12904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91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103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B9303A" w:rsidRPr="0029532E" w:rsidTr="00B9303A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Ульяновская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12852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91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105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B9303A" w:rsidRPr="0029532E" w:rsidTr="00EA4699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Пензенская область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12607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89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104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B9303A" w:rsidRPr="0029532E" w:rsidTr="00EA4699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Республика Марий Эл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12479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88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104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B9303A" w:rsidRPr="00345F10" w:rsidTr="00EA4699">
        <w:trPr>
          <w:cantSplit/>
          <w:trHeight w:val="197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B9303A" w:rsidRPr="00345F10" w:rsidRDefault="00B9303A" w:rsidP="0035673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345F10">
              <w:rPr>
                <w:rFonts w:ascii="Arial" w:hAnsi="Arial" w:cs="Arial"/>
                <w:b/>
                <w:sz w:val="18"/>
                <w:szCs w:val="18"/>
              </w:rPr>
              <w:t>Республика Татарстан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9303A" w:rsidRPr="00345F10" w:rsidRDefault="00B9303A" w:rsidP="00E904DD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F10">
              <w:rPr>
                <w:rFonts w:ascii="Arial" w:hAnsi="Arial" w:cs="Arial"/>
                <w:b/>
                <w:sz w:val="18"/>
                <w:szCs w:val="18"/>
              </w:rPr>
              <w:t>12378</w:t>
            </w:r>
            <w:r w:rsidR="00A64E26" w:rsidRPr="00345F1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45F1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303A" w:rsidRPr="00345F10" w:rsidRDefault="00B9303A" w:rsidP="00E904DD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F10">
              <w:rPr>
                <w:rFonts w:ascii="Arial" w:hAnsi="Arial" w:cs="Arial"/>
                <w:b/>
                <w:sz w:val="18"/>
                <w:szCs w:val="18"/>
              </w:rPr>
              <w:t>87</w:t>
            </w:r>
            <w:r w:rsidR="00A64E26" w:rsidRPr="00345F1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45F10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345F10" w:rsidRDefault="00B9303A" w:rsidP="00E904DD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F10">
              <w:rPr>
                <w:rFonts w:ascii="Arial" w:hAnsi="Arial" w:cs="Arial"/>
                <w:b/>
                <w:sz w:val="18"/>
                <w:szCs w:val="18"/>
              </w:rPr>
              <w:t>103</w:t>
            </w:r>
            <w:r w:rsidR="00A64E26" w:rsidRPr="00345F1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45F1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345F10" w:rsidRDefault="00B9303A" w:rsidP="00E904DD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F1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64E26" w:rsidRPr="00345F1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45F10">
              <w:rPr>
                <w:rFonts w:ascii="Arial" w:hAnsi="Arial" w:cs="Arial"/>
                <w:b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9303A" w:rsidRPr="00345F10" w:rsidRDefault="00B9303A" w:rsidP="00E904DD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F1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64E26" w:rsidRPr="00345F1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45F10">
              <w:rPr>
                <w:rFonts w:ascii="Arial" w:hAnsi="Arial" w:cs="Arial"/>
                <w:b/>
                <w:sz w:val="18"/>
                <w:szCs w:val="18"/>
              </w:rPr>
              <w:t>78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:rsidR="00B9303A" w:rsidRPr="00345F10" w:rsidRDefault="00B9303A" w:rsidP="00E904DD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F1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64E26" w:rsidRPr="00345F1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45F10">
              <w:rPr>
                <w:rFonts w:ascii="Arial" w:hAnsi="Arial" w:cs="Arial"/>
                <w:b/>
                <w:sz w:val="18"/>
                <w:szCs w:val="18"/>
              </w:rPr>
              <w:t>70</w:t>
            </w:r>
          </w:p>
        </w:tc>
      </w:tr>
      <w:bookmarkEnd w:id="0"/>
      <w:tr w:rsidR="00B9303A" w:rsidRPr="0029532E" w:rsidTr="00DA6AEF">
        <w:trPr>
          <w:cantSplit/>
          <w:trHeight w:val="1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Республика Мордовия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12318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87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105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B9303A" w:rsidRPr="0029532E" w:rsidTr="00EA4699">
        <w:trPr>
          <w:cantSplit/>
          <w:trHeight w:val="197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Чувашская Республика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12290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87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105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B9303A" w:rsidRPr="0029532E" w:rsidTr="00B9303A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Оренбургская область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12101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85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103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B9303A" w:rsidRPr="0029532E" w:rsidTr="00B9303A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9303A" w:rsidRPr="0029532E" w:rsidRDefault="00B9303A" w:rsidP="003567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Саратовская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11938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84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102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1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51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9303A" w:rsidRPr="0029532E" w:rsidRDefault="00B9303A" w:rsidP="00E904D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32E">
              <w:rPr>
                <w:rFonts w:ascii="Arial" w:hAnsi="Arial" w:cs="Arial"/>
                <w:sz w:val="18"/>
                <w:szCs w:val="18"/>
              </w:rPr>
              <w:t>2</w:t>
            </w:r>
            <w:r w:rsidR="00A64E26" w:rsidRPr="0029532E">
              <w:rPr>
                <w:rFonts w:ascii="Arial" w:hAnsi="Arial" w:cs="Arial"/>
                <w:sz w:val="18"/>
                <w:szCs w:val="18"/>
              </w:rPr>
              <w:t>,</w:t>
            </w:r>
            <w:r w:rsidRPr="0029532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</w:tbl>
    <w:p w:rsidR="0098006B" w:rsidRPr="001E41BC" w:rsidRDefault="0098006B" w:rsidP="0098006B">
      <w:pPr>
        <w:keepNext/>
        <w:widowControl w:val="0"/>
        <w:autoSpaceDE/>
        <w:autoSpaceDN/>
        <w:adjustRightInd/>
        <w:spacing w:line="180" w:lineRule="exact"/>
        <w:ind w:left="-57" w:right="-57" w:firstLine="0"/>
        <w:jc w:val="left"/>
        <w:outlineLvl w:val="8"/>
        <w:rPr>
          <w:i/>
          <w:sz w:val="14"/>
          <w:szCs w:val="14"/>
        </w:rPr>
      </w:pPr>
      <w:r w:rsidRPr="00633B5B">
        <w:rPr>
          <w:sz w:val="14"/>
          <w:szCs w:val="14"/>
          <w:vertAlign w:val="superscript"/>
        </w:rPr>
        <w:t xml:space="preserve">  1) </w:t>
      </w:r>
      <w:r w:rsidRPr="00633B5B">
        <w:rPr>
          <w:sz w:val="14"/>
          <w:szCs w:val="14"/>
        </w:rPr>
        <w:t>Данные предоставляются</w:t>
      </w:r>
      <w:r w:rsidR="00043145" w:rsidRPr="00043145">
        <w:rPr>
          <w:sz w:val="14"/>
          <w:szCs w:val="14"/>
        </w:rPr>
        <w:t>Росстатом</w:t>
      </w:r>
      <w:r w:rsidRPr="00633B5B">
        <w:rPr>
          <w:sz w:val="14"/>
          <w:szCs w:val="14"/>
        </w:rPr>
        <w:t xml:space="preserve"> с месячным опозданием</w:t>
      </w:r>
      <w:r w:rsidR="001E41BC" w:rsidRPr="001E41BC">
        <w:rPr>
          <w:sz w:val="14"/>
          <w:szCs w:val="14"/>
        </w:rPr>
        <w:t>.</w:t>
      </w:r>
    </w:p>
    <w:p w:rsidR="0098006B" w:rsidRPr="001E41BC" w:rsidRDefault="0098006B" w:rsidP="0098006B">
      <w:pPr>
        <w:widowControl w:val="0"/>
        <w:autoSpaceDE/>
        <w:autoSpaceDN/>
        <w:adjustRightInd/>
        <w:ind w:firstLine="0"/>
        <w:jc w:val="left"/>
        <w:rPr>
          <w:sz w:val="14"/>
          <w:szCs w:val="14"/>
          <w:vertAlign w:val="superscript"/>
        </w:rPr>
      </w:pPr>
      <w:r w:rsidRPr="00633B5B">
        <w:rPr>
          <w:sz w:val="14"/>
          <w:szCs w:val="14"/>
          <w:vertAlign w:val="superscript"/>
        </w:rPr>
        <w:t>2)</w:t>
      </w:r>
      <w:r w:rsidRPr="00633B5B">
        <w:rPr>
          <w:sz w:val="14"/>
          <w:szCs w:val="14"/>
        </w:rPr>
        <w:t xml:space="preserve"> Расчет изменения стоимости набора осуществлен на основе сопоставимых цен на товары и услуги, входящие в него</w:t>
      </w:r>
      <w:r w:rsidR="001E41BC" w:rsidRPr="001E41BC">
        <w:rPr>
          <w:sz w:val="14"/>
          <w:szCs w:val="14"/>
        </w:rPr>
        <w:t>.</w:t>
      </w:r>
    </w:p>
    <w:p w:rsidR="0098006B" w:rsidRPr="00424733" w:rsidRDefault="0098006B" w:rsidP="0098006B">
      <w:pPr>
        <w:widowControl w:val="0"/>
        <w:autoSpaceDE/>
        <w:autoSpaceDN/>
        <w:adjustRightInd/>
        <w:ind w:firstLine="0"/>
        <w:jc w:val="left"/>
        <w:rPr>
          <w:sz w:val="14"/>
          <w:szCs w:val="14"/>
        </w:rPr>
      </w:pPr>
      <w:r w:rsidRPr="00633B5B">
        <w:rPr>
          <w:sz w:val="14"/>
          <w:szCs w:val="14"/>
          <w:vertAlign w:val="superscript"/>
        </w:rPr>
        <w:t>3)</w:t>
      </w:r>
      <w:r w:rsidRPr="00633B5B">
        <w:rPr>
          <w:sz w:val="14"/>
          <w:szCs w:val="14"/>
        </w:rPr>
        <w:t xml:space="preserve"> Предварительные данные</w:t>
      </w:r>
      <w:r w:rsidR="001E41BC" w:rsidRPr="00424733">
        <w:rPr>
          <w:sz w:val="14"/>
          <w:szCs w:val="14"/>
        </w:rPr>
        <w:t>.</w:t>
      </w:r>
    </w:p>
    <w:p w:rsidR="000C51BA" w:rsidRDefault="000C51BA" w:rsidP="00D120E8">
      <w:pPr>
        <w:tabs>
          <w:tab w:val="left" w:pos="851"/>
        </w:tabs>
        <w:ind w:firstLine="0"/>
        <w:jc w:val="right"/>
        <w:rPr>
          <w:rFonts w:ascii="Times New Roman CYR" w:hAnsi="Times New Roman CYR" w:cs="Times New Roman CYR"/>
          <w:bCs/>
        </w:rPr>
      </w:pPr>
    </w:p>
    <w:p w:rsidR="00D120E8" w:rsidRPr="00DB57D3" w:rsidRDefault="00D120E8" w:rsidP="00D120E8">
      <w:pPr>
        <w:tabs>
          <w:tab w:val="left" w:pos="851"/>
        </w:tabs>
        <w:ind w:firstLine="0"/>
        <w:jc w:val="right"/>
        <w:rPr>
          <w:b/>
          <w:sz w:val="26"/>
          <w:szCs w:val="26"/>
        </w:rPr>
      </w:pPr>
      <w:r w:rsidRPr="00C548FA">
        <w:rPr>
          <w:b/>
          <w:sz w:val="26"/>
          <w:szCs w:val="26"/>
        </w:rPr>
        <w:t>Татарстанстат</w:t>
      </w:r>
    </w:p>
    <w:sectPr w:rsidR="00D120E8" w:rsidRPr="00DB57D3" w:rsidSect="00BE794B">
      <w:footnotePr>
        <w:numRestart w:val="eachPage"/>
      </w:footnotePr>
      <w:pgSz w:w="11907" w:h="16839" w:code="9"/>
      <w:pgMar w:top="1134" w:right="567" w:bottom="99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16" w:rsidRDefault="00204F16" w:rsidP="008A5168">
      <w:r>
        <w:separator/>
      </w:r>
    </w:p>
  </w:endnote>
  <w:endnote w:type="continuationSeparator" w:id="1">
    <w:p w:rsidR="00204F16" w:rsidRDefault="00204F16" w:rsidP="008A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16" w:rsidRDefault="00204F16" w:rsidP="008A5168">
      <w:r>
        <w:separator/>
      </w:r>
    </w:p>
  </w:footnote>
  <w:footnote w:type="continuationSeparator" w:id="1">
    <w:p w:rsidR="00204F16" w:rsidRDefault="00204F16" w:rsidP="008A5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1A209A"/>
    <w:multiLevelType w:val="multilevel"/>
    <w:tmpl w:val="FACAA7B6"/>
    <w:lvl w:ilvl="0">
      <w:start w:val="1"/>
      <w:numFmt w:val="upperRoman"/>
      <w:pStyle w:val="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FD1594"/>
    <w:rsid w:val="00001575"/>
    <w:rsid w:val="000049BE"/>
    <w:rsid w:val="00004BFE"/>
    <w:rsid w:val="000076E3"/>
    <w:rsid w:val="000111D2"/>
    <w:rsid w:val="00012467"/>
    <w:rsid w:val="0001304B"/>
    <w:rsid w:val="00013052"/>
    <w:rsid w:val="000138F4"/>
    <w:rsid w:val="00034489"/>
    <w:rsid w:val="0003454A"/>
    <w:rsid w:val="00040041"/>
    <w:rsid w:val="000419AA"/>
    <w:rsid w:val="0004207A"/>
    <w:rsid w:val="000423CE"/>
    <w:rsid w:val="00043145"/>
    <w:rsid w:val="00047576"/>
    <w:rsid w:val="00053552"/>
    <w:rsid w:val="000543A6"/>
    <w:rsid w:val="00054B2D"/>
    <w:rsid w:val="00055F67"/>
    <w:rsid w:val="000614C4"/>
    <w:rsid w:val="00062913"/>
    <w:rsid w:val="000633BC"/>
    <w:rsid w:val="0007041A"/>
    <w:rsid w:val="00072C47"/>
    <w:rsid w:val="000737B5"/>
    <w:rsid w:val="00077395"/>
    <w:rsid w:val="00077F6E"/>
    <w:rsid w:val="00080A84"/>
    <w:rsid w:val="000878D7"/>
    <w:rsid w:val="000951AA"/>
    <w:rsid w:val="00096E6B"/>
    <w:rsid w:val="000A369B"/>
    <w:rsid w:val="000A4785"/>
    <w:rsid w:val="000A67CA"/>
    <w:rsid w:val="000B2D8A"/>
    <w:rsid w:val="000B30EC"/>
    <w:rsid w:val="000B5572"/>
    <w:rsid w:val="000C4409"/>
    <w:rsid w:val="000C51BA"/>
    <w:rsid w:val="000D2518"/>
    <w:rsid w:val="000D49F9"/>
    <w:rsid w:val="000D5B01"/>
    <w:rsid w:val="000D74BB"/>
    <w:rsid w:val="000E01C3"/>
    <w:rsid w:val="000E0F57"/>
    <w:rsid w:val="000F0E5D"/>
    <w:rsid w:val="000F7449"/>
    <w:rsid w:val="00101C40"/>
    <w:rsid w:val="0010222E"/>
    <w:rsid w:val="00104863"/>
    <w:rsid w:val="00107087"/>
    <w:rsid w:val="00110970"/>
    <w:rsid w:val="00110D5E"/>
    <w:rsid w:val="001112FC"/>
    <w:rsid w:val="00117C98"/>
    <w:rsid w:val="0012146E"/>
    <w:rsid w:val="00121550"/>
    <w:rsid w:val="001226A2"/>
    <w:rsid w:val="00127318"/>
    <w:rsid w:val="001344CC"/>
    <w:rsid w:val="00135603"/>
    <w:rsid w:val="00135607"/>
    <w:rsid w:val="001366B9"/>
    <w:rsid w:val="00137C8F"/>
    <w:rsid w:val="00141A84"/>
    <w:rsid w:val="00142CEE"/>
    <w:rsid w:val="00144B59"/>
    <w:rsid w:val="0014652B"/>
    <w:rsid w:val="001473F9"/>
    <w:rsid w:val="00150A81"/>
    <w:rsid w:val="00151B84"/>
    <w:rsid w:val="001529AA"/>
    <w:rsid w:val="001533FD"/>
    <w:rsid w:val="001551E0"/>
    <w:rsid w:val="001562AA"/>
    <w:rsid w:val="00156516"/>
    <w:rsid w:val="00157BCF"/>
    <w:rsid w:val="0016463C"/>
    <w:rsid w:val="001711C7"/>
    <w:rsid w:val="001721E4"/>
    <w:rsid w:val="00176D7F"/>
    <w:rsid w:val="00180A3C"/>
    <w:rsid w:val="00183ADE"/>
    <w:rsid w:val="001868EA"/>
    <w:rsid w:val="001875BE"/>
    <w:rsid w:val="00190170"/>
    <w:rsid w:val="00195830"/>
    <w:rsid w:val="001A19CF"/>
    <w:rsid w:val="001A4C68"/>
    <w:rsid w:val="001A7938"/>
    <w:rsid w:val="001B0428"/>
    <w:rsid w:val="001B1EB4"/>
    <w:rsid w:val="001B2730"/>
    <w:rsid w:val="001B44B9"/>
    <w:rsid w:val="001B531F"/>
    <w:rsid w:val="001C3BC2"/>
    <w:rsid w:val="001C58CF"/>
    <w:rsid w:val="001C5D82"/>
    <w:rsid w:val="001C5E68"/>
    <w:rsid w:val="001C7912"/>
    <w:rsid w:val="001D0609"/>
    <w:rsid w:val="001E08DC"/>
    <w:rsid w:val="001E2CF4"/>
    <w:rsid w:val="001E3F80"/>
    <w:rsid w:val="001E41BC"/>
    <w:rsid w:val="001E46B3"/>
    <w:rsid w:val="001F31FB"/>
    <w:rsid w:val="001F3797"/>
    <w:rsid w:val="001F7C6A"/>
    <w:rsid w:val="001F7D87"/>
    <w:rsid w:val="0020096E"/>
    <w:rsid w:val="00204F16"/>
    <w:rsid w:val="00205AFC"/>
    <w:rsid w:val="00210A31"/>
    <w:rsid w:val="00213104"/>
    <w:rsid w:val="0021465B"/>
    <w:rsid w:val="002244DD"/>
    <w:rsid w:val="002270AD"/>
    <w:rsid w:val="00227276"/>
    <w:rsid w:val="00233845"/>
    <w:rsid w:val="002346C8"/>
    <w:rsid w:val="00236B80"/>
    <w:rsid w:val="0024009C"/>
    <w:rsid w:val="00240233"/>
    <w:rsid w:val="00246745"/>
    <w:rsid w:val="002476CC"/>
    <w:rsid w:val="0025007F"/>
    <w:rsid w:val="00256EF8"/>
    <w:rsid w:val="00265268"/>
    <w:rsid w:val="00272880"/>
    <w:rsid w:val="002738EF"/>
    <w:rsid w:val="00274247"/>
    <w:rsid w:val="00275483"/>
    <w:rsid w:val="00276D0A"/>
    <w:rsid w:val="0028471D"/>
    <w:rsid w:val="00286A62"/>
    <w:rsid w:val="00287BC3"/>
    <w:rsid w:val="00287C68"/>
    <w:rsid w:val="00293430"/>
    <w:rsid w:val="0029532E"/>
    <w:rsid w:val="002A07DF"/>
    <w:rsid w:val="002A2378"/>
    <w:rsid w:val="002B0F6C"/>
    <w:rsid w:val="002B16F9"/>
    <w:rsid w:val="002B1B61"/>
    <w:rsid w:val="002B2D88"/>
    <w:rsid w:val="002B513E"/>
    <w:rsid w:val="002B541C"/>
    <w:rsid w:val="002C0570"/>
    <w:rsid w:val="002C2DCE"/>
    <w:rsid w:val="002C3C84"/>
    <w:rsid w:val="002D1D20"/>
    <w:rsid w:val="002D5B36"/>
    <w:rsid w:val="002E1EA2"/>
    <w:rsid w:val="002E53B4"/>
    <w:rsid w:val="002E5551"/>
    <w:rsid w:val="002E6D06"/>
    <w:rsid w:val="002E78C2"/>
    <w:rsid w:val="002F1BD3"/>
    <w:rsid w:val="002F6719"/>
    <w:rsid w:val="002F7760"/>
    <w:rsid w:val="003024D4"/>
    <w:rsid w:val="00324923"/>
    <w:rsid w:val="003269C3"/>
    <w:rsid w:val="00327211"/>
    <w:rsid w:val="0033021D"/>
    <w:rsid w:val="00336CE0"/>
    <w:rsid w:val="0033788B"/>
    <w:rsid w:val="00337E8C"/>
    <w:rsid w:val="00345F10"/>
    <w:rsid w:val="003506F0"/>
    <w:rsid w:val="0035673B"/>
    <w:rsid w:val="0037258A"/>
    <w:rsid w:val="00373BE6"/>
    <w:rsid w:val="00373E06"/>
    <w:rsid w:val="0037672B"/>
    <w:rsid w:val="00377249"/>
    <w:rsid w:val="00377E6B"/>
    <w:rsid w:val="00395EB0"/>
    <w:rsid w:val="003A0F80"/>
    <w:rsid w:val="003A1637"/>
    <w:rsid w:val="003A39A2"/>
    <w:rsid w:val="003A5ECF"/>
    <w:rsid w:val="003A7A75"/>
    <w:rsid w:val="003B0D8E"/>
    <w:rsid w:val="003B39CF"/>
    <w:rsid w:val="003B512A"/>
    <w:rsid w:val="003B59A2"/>
    <w:rsid w:val="003B76A5"/>
    <w:rsid w:val="003C00FD"/>
    <w:rsid w:val="003C096D"/>
    <w:rsid w:val="003C2EF3"/>
    <w:rsid w:val="003C5848"/>
    <w:rsid w:val="003C6CA4"/>
    <w:rsid w:val="003D2082"/>
    <w:rsid w:val="003D4428"/>
    <w:rsid w:val="003D4FAF"/>
    <w:rsid w:val="003D5C22"/>
    <w:rsid w:val="003E13BF"/>
    <w:rsid w:val="003E59F7"/>
    <w:rsid w:val="003F18E3"/>
    <w:rsid w:val="003F568D"/>
    <w:rsid w:val="003F5FE1"/>
    <w:rsid w:val="00400F2E"/>
    <w:rsid w:val="00403AEA"/>
    <w:rsid w:val="00404E84"/>
    <w:rsid w:val="00407E32"/>
    <w:rsid w:val="00413366"/>
    <w:rsid w:val="00416BA7"/>
    <w:rsid w:val="004210F3"/>
    <w:rsid w:val="00421509"/>
    <w:rsid w:val="00422A9C"/>
    <w:rsid w:val="00424733"/>
    <w:rsid w:val="0042607C"/>
    <w:rsid w:val="00432D25"/>
    <w:rsid w:val="00437090"/>
    <w:rsid w:val="00443A05"/>
    <w:rsid w:val="00444708"/>
    <w:rsid w:val="004476A6"/>
    <w:rsid w:val="00452143"/>
    <w:rsid w:val="00456497"/>
    <w:rsid w:val="00456E0B"/>
    <w:rsid w:val="00460D25"/>
    <w:rsid w:val="00460F25"/>
    <w:rsid w:val="00463220"/>
    <w:rsid w:val="00463A67"/>
    <w:rsid w:val="00473A7E"/>
    <w:rsid w:val="004760FE"/>
    <w:rsid w:val="004761C2"/>
    <w:rsid w:val="00493778"/>
    <w:rsid w:val="00496395"/>
    <w:rsid w:val="004A15B6"/>
    <w:rsid w:val="004A4718"/>
    <w:rsid w:val="004A4AA7"/>
    <w:rsid w:val="004B5814"/>
    <w:rsid w:val="004B5B2B"/>
    <w:rsid w:val="004C047C"/>
    <w:rsid w:val="004C179E"/>
    <w:rsid w:val="004C2BF2"/>
    <w:rsid w:val="004E119D"/>
    <w:rsid w:val="004E3921"/>
    <w:rsid w:val="004E5E6B"/>
    <w:rsid w:val="004F1321"/>
    <w:rsid w:val="004F28E5"/>
    <w:rsid w:val="004F4448"/>
    <w:rsid w:val="004F5619"/>
    <w:rsid w:val="0050085C"/>
    <w:rsid w:val="00510A24"/>
    <w:rsid w:val="005112AD"/>
    <w:rsid w:val="005113CF"/>
    <w:rsid w:val="005133CE"/>
    <w:rsid w:val="00514D49"/>
    <w:rsid w:val="00523D8D"/>
    <w:rsid w:val="005262BD"/>
    <w:rsid w:val="00532A0E"/>
    <w:rsid w:val="00534A11"/>
    <w:rsid w:val="00541886"/>
    <w:rsid w:val="00543F76"/>
    <w:rsid w:val="00544691"/>
    <w:rsid w:val="00546F10"/>
    <w:rsid w:val="0055087A"/>
    <w:rsid w:val="00552336"/>
    <w:rsid w:val="005656EA"/>
    <w:rsid w:val="00571358"/>
    <w:rsid w:val="00573324"/>
    <w:rsid w:val="00575D5C"/>
    <w:rsid w:val="005760E2"/>
    <w:rsid w:val="005777BA"/>
    <w:rsid w:val="00580011"/>
    <w:rsid w:val="005836EC"/>
    <w:rsid w:val="00584014"/>
    <w:rsid w:val="00585698"/>
    <w:rsid w:val="0058612D"/>
    <w:rsid w:val="005948E3"/>
    <w:rsid w:val="00596C8D"/>
    <w:rsid w:val="005A06CE"/>
    <w:rsid w:val="005A07DB"/>
    <w:rsid w:val="005A5098"/>
    <w:rsid w:val="005A7200"/>
    <w:rsid w:val="005B5926"/>
    <w:rsid w:val="005B67D2"/>
    <w:rsid w:val="005C0A31"/>
    <w:rsid w:val="005C2066"/>
    <w:rsid w:val="005C2CF8"/>
    <w:rsid w:val="005D16FA"/>
    <w:rsid w:val="005D5F29"/>
    <w:rsid w:val="005D6573"/>
    <w:rsid w:val="005D6F22"/>
    <w:rsid w:val="005D7ABC"/>
    <w:rsid w:val="005E69BC"/>
    <w:rsid w:val="005F0596"/>
    <w:rsid w:val="005F15B6"/>
    <w:rsid w:val="005F59CD"/>
    <w:rsid w:val="005F6CD9"/>
    <w:rsid w:val="006019BD"/>
    <w:rsid w:val="006169A0"/>
    <w:rsid w:val="0062222D"/>
    <w:rsid w:val="00625404"/>
    <w:rsid w:val="00633B5B"/>
    <w:rsid w:val="0063469A"/>
    <w:rsid w:val="0065455C"/>
    <w:rsid w:val="006571C3"/>
    <w:rsid w:val="00661315"/>
    <w:rsid w:val="00666F28"/>
    <w:rsid w:val="00667210"/>
    <w:rsid w:val="00671587"/>
    <w:rsid w:val="00673FAF"/>
    <w:rsid w:val="00681C5A"/>
    <w:rsid w:val="00684081"/>
    <w:rsid w:val="0068504F"/>
    <w:rsid w:val="00686249"/>
    <w:rsid w:val="006928F6"/>
    <w:rsid w:val="00697A35"/>
    <w:rsid w:val="006A425F"/>
    <w:rsid w:val="006A6599"/>
    <w:rsid w:val="006B6668"/>
    <w:rsid w:val="006C2B44"/>
    <w:rsid w:val="006C6BA8"/>
    <w:rsid w:val="006D0CB9"/>
    <w:rsid w:val="006E5255"/>
    <w:rsid w:val="006E62B8"/>
    <w:rsid w:val="006F6AE7"/>
    <w:rsid w:val="00700258"/>
    <w:rsid w:val="00703DA6"/>
    <w:rsid w:val="007159AA"/>
    <w:rsid w:val="00716288"/>
    <w:rsid w:val="00723FAB"/>
    <w:rsid w:val="00724ADC"/>
    <w:rsid w:val="00725724"/>
    <w:rsid w:val="00726446"/>
    <w:rsid w:val="00733F05"/>
    <w:rsid w:val="00734B2D"/>
    <w:rsid w:val="00734DE1"/>
    <w:rsid w:val="00741AA2"/>
    <w:rsid w:val="0074205D"/>
    <w:rsid w:val="00742D7F"/>
    <w:rsid w:val="007511F8"/>
    <w:rsid w:val="00755B63"/>
    <w:rsid w:val="00761437"/>
    <w:rsid w:val="007630B2"/>
    <w:rsid w:val="00774BE7"/>
    <w:rsid w:val="00777BD1"/>
    <w:rsid w:val="00781EA6"/>
    <w:rsid w:val="00784638"/>
    <w:rsid w:val="0078564A"/>
    <w:rsid w:val="007942D7"/>
    <w:rsid w:val="00796170"/>
    <w:rsid w:val="007976C1"/>
    <w:rsid w:val="007A0AEE"/>
    <w:rsid w:val="007A4701"/>
    <w:rsid w:val="007A670B"/>
    <w:rsid w:val="007B1D73"/>
    <w:rsid w:val="007B5877"/>
    <w:rsid w:val="007B5EFD"/>
    <w:rsid w:val="007C1AFF"/>
    <w:rsid w:val="007C25C5"/>
    <w:rsid w:val="007C2FC2"/>
    <w:rsid w:val="007C52B5"/>
    <w:rsid w:val="007D0A2E"/>
    <w:rsid w:val="007D2DF9"/>
    <w:rsid w:val="007D3ADB"/>
    <w:rsid w:val="007D40EC"/>
    <w:rsid w:val="007D6847"/>
    <w:rsid w:val="007D6B5B"/>
    <w:rsid w:val="007E7ABF"/>
    <w:rsid w:val="007F08A2"/>
    <w:rsid w:val="007F0B4F"/>
    <w:rsid w:val="007F7F4F"/>
    <w:rsid w:val="00800CAD"/>
    <w:rsid w:val="00803FBC"/>
    <w:rsid w:val="00806F1A"/>
    <w:rsid w:val="00813873"/>
    <w:rsid w:val="00813E08"/>
    <w:rsid w:val="008201EA"/>
    <w:rsid w:val="00820F87"/>
    <w:rsid w:val="00821685"/>
    <w:rsid w:val="008221F4"/>
    <w:rsid w:val="0082282F"/>
    <w:rsid w:val="00823B8E"/>
    <w:rsid w:val="008264A5"/>
    <w:rsid w:val="0083591D"/>
    <w:rsid w:val="00835B46"/>
    <w:rsid w:val="00836536"/>
    <w:rsid w:val="0083699B"/>
    <w:rsid w:val="008422C9"/>
    <w:rsid w:val="00861230"/>
    <w:rsid w:val="00861753"/>
    <w:rsid w:val="0086476F"/>
    <w:rsid w:val="00867525"/>
    <w:rsid w:val="00877D61"/>
    <w:rsid w:val="008832B2"/>
    <w:rsid w:val="00884B39"/>
    <w:rsid w:val="00884CC8"/>
    <w:rsid w:val="00885458"/>
    <w:rsid w:val="008932E8"/>
    <w:rsid w:val="00897828"/>
    <w:rsid w:val="008A2D5F"/>
    <w:rsid w:val="008A4C55"/>
    <w:rsid w:val="008A5168"/>
    <w:rsid w:val="008A5C7D"/>
    <w:rsid w:val="008A6EB5"/>
    <w:rsid w:val="008B1DD9"/>
    <w:rsid w:val="008B4470"/>
    <w:rsid w:val="008C33B9"/>
    <w:rsid w:val="008D5420"/>
    <w:rsid w:val="008D671F"/>
    <w:rsid w:val="008E7800"/>
    <w:rsid w:val="008F29E7"/>
    <w:rsid w:val="008F4180"/>
    <w:rsid w:val="008F49E3"/>
    <w:rsid w:val="00901855"/>
    <w:rsid w:val="00901FAB"/>
    <w:rsid w:val="0091343E"/>
    <w:rsid w:val="00915AE0"/>
    <w:rsid w:val="00927753"/>
    <w:rsid w:val="00927D16"/>
    <w:rsid w:val="00932088"/>
    <w:rsid w:val="00933E39"/>
    <w:rsid w:val="009408EA"/>
    <w:rsid w:val="00940F7E"/>
    <w:rsid w:val="00941193"/>
    <w:rsid w:val="00941DE2"/>
    <w:rsid w:val="009429EC"/>
    <w:rsid w:val="00944602"/>
    <w:rsid w:val="0094733A"/>
    <w:rsid w:val="00950895"/>
    <w:rsid w:val="009534BB"/>
    <w:rsid w:val="0095488A"/>
    <w:rsid w:val="00956372"/>
    <w:rsid w:val="00957C6F"/>
    <w:rsid w:val="00961144"/>
    <w:rsid w:val="009700B1"/>
    <w:rsid w:val="009700C8"/>
    <w:rsid w:val="0097181F"/>
    <w:rsid w:val="0098006B"/>
    <w:rsid w:val="009803AF"/>
    <w:rsid w:val="00990AA6"/>
    <w:rsid w:val="00991038"/>
    <w:rsid w:val="0099535A"/>
    <w:rsid w:val="00996C93"/>
    <w:rsid w:val="00997033"/>
    <w:rsid w:val="009A00E1"/>
    <w:rsid w:val="009A099F"/>
    <w:rsid w:val="009B05EE"/>
    <w:rsid w:val="009C0903"/>
    <w:rsid w:val="009C0F7E"/>
    <w:rsid w:val="009C33D8"/>
    <w:rsid w:val="009C3A1E"/>
    <w:rsid w:val="009C714C"/>
    <w:rsid w:val="009C746B"/>
    <w:rsid w:val="009C7F9B"/>
    <w:rsid w:val="009D59A0"/>
    <w:rsid w:val="009D7506"/>
    <w:rsid w:val="009E648B"/>
    <w:rsid w:val="009F0766"/>
    <w:rsid w:val="009F2EA9"/>
    <w:rsid w:val="009F3DCA"/>
    <w:rsid w:val="009F6073"/>
    <w:rsid w:val="00A160EC"/>
    <w:rsid w:val="00A24271"/>
    <w:rsid w:val="00A24649"/>
    <w:rsid w:val="00A247FD"/>
    <w:rsid w:val="00A254E4"/>
    <w:rsid w:val="00A2582C"/>
    <w:rsid w:val="00A263CF"/>
    <w:rsid w:val="00A2676B"/>
    <w:rsid w:val="00A27322"/>
    <w:rsid w:val="00A276A4"/>
    <w:rsid w:val="00A27EC9"/>
    <w:rsid w:val="00A30598"/>
    <w:rsid w:val="00A3234C"/>
    <w:rsid w:val="00A35B94"/>
    <w:rsid w:val="00A3606B"/>
    <w:rsid w:val="00A41D52"/>
    <w:rsid w:val="00A41F27"/>
    <w:rsid w:val="00A4526C"/>
    <w:rsid w:val="00A525BA"/>
    <w:rsid w:val="00A5670E"/>
    <w:rsid w:val="00A576A6"/>
    <w:rsid w:val="00A600D2"/>
    <w:rsid w:val="00A632FB"/>
    <w:rsid w:val="00A63C6F"/>
    <w:rsid w:val="00A640F2"/>
    <w:rsid w:val="00A64E26"/>
    <w:rsid w:val="00A73403"/>
    <w:rsid w:val="00A73A1A"/>
    <w:rsid w:val="00A7514B"/>
    <w:rsid w:val="00A90819"/>
    <w:rsid w:val="00A92336"/>
    <w:rsid w:val="00A93766"/>
    <w:rsid w:val="00A95224"/>
    <w:rsid w:val="00A95C35"/>
    <w:rsid w:val="00A96A88"/>
    <w:rsid w:val="00AA3436"/>
    <w:rsid w:val="00AB13C8"/>
    <w:rsid w:val="00AB31E0"/>
    <w:rsid w:val="00AD45B6"/>
    <w:rsid w:val="00AD5C4B"/>
    <w:rsid w:val="00AD61D6"/>
    <w:rsid w:val="00AD6AE3"/>
    <w:rsid w:val="00AE1CFB"/>
    <w:rsid w:val="00AE5F81"/>
    <w:rsid w:val="00AE680E"/>
    <w:rsid w:val="00AE703C"/>
    <w:rsid w:val="00AE7FA8"/>
    <w:rsid w:val="00AF15DD"/>
    <w:rsid w:val="00AF1A4A"/>
    <w:rsid w:val="00AF1D59"/>
    <w:rsid w:val="00AF4685"/>
    <w:rsid w:val="00AF612C"/>
    <w:rsid w:val="00AF672B"/>
    <w:rsid w:val="00B0368A"/>
    <w:rsid w:val="00B12A28"/>
    <w:rsid w:val="00B224C8"/>
    <w:rsid w:val="00B251D1"/>
    <w:rsid w:val="00B2749E"/>
    <w:rsid w:val="00B30368"/>
    <w:rsid w:val="00B3595D"/>
    <w:rsid w:val="00B377F2"/>
    <w:rsid w:val="00B43BDF"/>
    <w:rsid w:val="00B46DC7"/>
    <w:rsid w:val="00B5246F"/>
    <w:rsid w:val="00B53F9A"/>
    <w:rsid w:val="00B57B26"/>
    <w:rsid w:val="00B71BB6"/>
    <w:rsid w:val="00B72717"/>
    <w:rsid w:val="00B74B17"/>
    <w:rsid w:val="00B761F8"/>
    <w:rsid w:val="00B85D4D"/>
    <w:rsid w:val="00B91322"/>
    <w:rsid w:val="00B9303A"/>
    <w:rsid w:val="00B96070"/>
    <w:rsid w:val="00B97574"/>
    <w:rsid w:val="00BA16E9"/>
    <w:rsid w:val="00BA26C4"/>
    <w:rsid w:val="00BB515A"/>
    <w:rsid w:val="00BC4DAA"/>
    <w:rsid w:val="00BD1A01"/>
    <w:rsid w:val="00BD2D67"/>
    <w:rsid w:val="00BD3EF9"/>
    <w:rsid w:val="00BD4DEA"/>
    <w:rsid w:val="00BD6787"/>
    <w:rsid w:val="00BD696E"/>
    <w:rsid w:val="00BE073C"/>
    <w:rsid w:val="00BE2706"/>
    <w:rsid w:val="00BE2801"/>
    <w:rsid w:val="00BE794B"/>
    <w:rsid w:val="00BF08A1"/>
    <w:rsid w:val="00C039E0"/>
    <w:rsid w:val="00C154EB"/>
    <w:rsid w:val="00C32EF8"/>
    <w:rsid w:val="00C4057C"/>
    <w:rsid w:val="00C40C4B"/>
    <w:rsid w:val="00C427F2"/>
    <w:rsid w:val="00C43097"/>
    <w:rsid w:val="00C4542F"/>
    <w:rsid w:val="00C47DDE"/>
    <w:rsid w:val="00C528DA"/>
    <w:rsid w:val="00C548FA"/>
    <w:rsid w:val="00C57AED"/>
    <w:rsid w:val="00C62E61"/>
    <w:rsid w:val="00C6526C"/>
    <w:rsid w:val="00C6579E"/>
    <w:rsid w:val="00C7147E"/>
    <w:rsid w:val="00C73580"/>
    <w:rsid w:val="00C75293"/>
    <w:rsid w:val="00C8061C"/>
    <w:rsid w:val="00C82274"/>
    <w:rsid w:val="00C9044F"/>
    <w:rsid w:val="00C911A4"/>
    <w:rsid w:val="00C93102"/>
    <w:rsid w:val="00C950C9"/>
    <w:rsid w:val="00C9778E"/>
    <w:rsid w:val="00CA1532"/>
    <w:rsid w:val="00CA36F5"/>
    <w:rsid w:val="00CB4E8A"/>
    <w:rsid w:val="00CC21AC"/>
    <w:rsid w:val="00CC5939"/>
    <w:rsid w:val="00CD0184"/>
    <w:rsid w:val="00CE1A94"/>
    <w:rsid w:val="00CE38BD"/>
    <w:rsid w:val="00CE50E6"/>
    <w:rsid w:val="00CE7228"/>
    <w:rsid w:val="00CF21DE"/>
    <w:rsid w:val="00CF44A6"/>
    <w:rsid w:val="00CF7DB1"/>
    <w:rsid w:val="00CF7E67"/>
    <w:rsid w:val="00D0054C"/>
    <w:rsid w:val="00D01023"/>
    <w:rsid w:val="00D01417"/>
    <w:rsid w:val="00D022C9"/>
    <w:rsid w:val="00D057F0"/>
    <w:rsid w:val="00D0614E"/>
    <w:rsid w:val="00D0782A"/>
    <w:rsid w:val="00D11105"/>
    <w:rsid w:val="00D120E8"/>
    <w:rsid w:val="00D1668B"/>
    <w:rsid w:val="00D26BD1"/>
    <w:rsid w:val="00D30595"/>
    <w:rsid w:val="00D32472"/>
    <w:rsid w:val="00D42337"/>
    <w:rsid w:val="00D42F28"/>
    <w:rsid w:val="00D43318"/>
    <w:rsid w:val="00D449AE"/>
    <w:rsid w:val="00D5714B"/>
    <w:rsid w:val="00D60F5A"/>
    <w:rsid w:val="00D665E8"/>
    <w:rsid w:val="00D67EBB"/>
    <w:rsid w:val="00D71A6C"/>
    <w:rsid w:val="00D71BBF"/>
    <w:rsid w:val="00D72129"/>
    <w:rsid w:val="00D73AA5"/>
    <w:rsid w:val="00D7455A"/>
    <w:rsid w:val="00D7465D"/>
    <w:rsid w:val="00D811FB"/>
    <w:rsid w:val="00D812BF"/>
    <w:rsid w:val="00D848D7"/>
    <w:rsid w:val="00D9281C"/>
    <w:rsid w:val="00D92F22"/>
    <w:rsid w:val="00D93D2F"/>
    <w:rsid w:val="00D953EC"/>
    <w:rsid w:val="00D96445"/>
    <w:rsid w:val="00D97807"/>
    <w:rsid w:val="00D97E5D"/>
    <w:rsid w:val="00DA18F9"/>
    <w:rsid w:val="00DA6AEF"/>
    <w:rsid w:val="00DA6D1C"/>
    <w:rsid w:val="00DA7902"/>
    <w:rsid w:val="00DB09A7"/>
    <w:rsid w:val="00DB1C68"/>
    <w:rsid w:val="00DB2310"/>
    <w:rsid w:val="00DB5444"/>
    <w:rsid w:val="00DB5538"/>
    <w:rsid w:val="00DB57D3"/>
    <w:rsid w:val="00DC14F7"/>
    <w:rsid w:val="00DC3BC6"/>
    <w:rsid w:val="00DC49A1"/>
    <w:rsid w:val="00DC7504"/>
    <w:rsid w:val="00DD18E6"/>
    <w:rsid w:val="00DD2558"/>
    <w:rsid w:val="00DD703E"/>
    <w:rsid w:val="00DE6002"/>
    <w:rsid w:val="00DE6A24"/>
    <w:rsid w:val="00DE787D"/>
    <w:rsid w:val="00DF5265"/>
    <w:rsid w:val="00DF65CD"/>
    <w:rsid w:val="00DF6884"/>
    <w:rsid w:val="00DF6C11"/>
    <w:rsid w:val="00E04070"/>
    <w:rsid w:val="00E05E9E"/>
    <w:rsid w:val="00E07E7B"/>
    <w:rsid w:val="00E20D0D"/>
    <w:rsid w:val="00E23BD6"/>
    <w:rsid w:val="00E34B9F"/>
    <w:rsid w:val="00E372B9"/>
    <w:rsid w:val="00E40C70"/>
    <w:rsid w:val="00E4353C"/>
    <w:rsid w:val="00E4369D"/>
    <w:rsid w:val="00E43F53"/>
    <w:rsid w:val="00E60EB5"/>
    <w:rsid w:val="00E72335"/>
    <w:rsid w:val="00E724B9"/>
    <w:rsid w:val="00E727D1"/>
    <w:rsid w:val="00E73020"/>
    <w:rsid w:val="00E74602"/>
    <w:rsid w:val="00E82C1B"/>
    <w:rsid w:val="00E86F7D"/>
    <w:rsid w:val="00E904DD"/>
    <w:rsid w:val="00E96AFC"/>
    <w:rsid w:val="00EA1DD7"/>
    <w:rsid w:val="00EA2118"/>
    <w:rsid w:val="00EA4699"/>
    <w:rsid w:val="00EA4771"/>
    <w:rsid w:val="00EA47CD"/>
    <w:rsid w:val="00EA5971"/>
    <w:rsid w:val="00EB44A0"/>
    <w:rsid w:val="00EB4ABE"/>
    <w:rsid w:val="00EB675D"/>
    <w:rsid w:val="00EC16C2"/>
    <w:rsid w:val="00EC2A64"/>
    <w:rsid w:val="00EC37F9"/>
    <w:rsid w:val="00EC6E6D"/>
    <w:rsid w:val="00ED0C12"/>
    <w:rsid w:val="00EE03C8"/>
    <w:rsid w:val="00EE48D1"/>
    <w:rsid w:val="00EE61FF"/>
    <w:rsid w:val="00EE71F0"/>
    <w:rsid w:val="00EE7B13"/>
    <w:rsid w:val="00EF280B"/>
    <w:rsid w:val="00EF6DDF"/>
    <w:rsid w:val="00F012A0"/>
    <w:rsid w:val="00F01A24"/>
    <w:rsid w:val="00F03BCB"/>
    <w:rsid w:val="00F15F20"/>
    <w:rsid w:val="00F1630F"/>
    <w:rsid w:val="00F200F1"/>
    <w:rsid w:val="00F254D4"/>
    <w:rsid w:val="00F25B82"/>
    <w:rsid w:val="00F25B9D"/>
    <w:rsid w:val="00F31C08"/>
    <w:rsid w:val="00F32D4A"/>
    <w:rsid w:val="00F36A9C"/>
    <w:rsid w:val="00F36D15"/>
    <w:rsid w:val="00F370A9"/>
    <w:rsid w:val="00F4074F"/>
    <w:rsid w:val="00F42136"/>
    <w:rsid w:val="00F50558"/>
    <w:rsid w:val="00F61442"/>
    <w:rsid w:val="00F663BF"/>
    <w:rsid w:val="00F6769E"/>
    <w:rsid w:val="00F7251D"/>
    <w:rsid w:val="00F77EB4"/>
    <w:rsid w:val="00F85706"/>
    <w:rsid w:val="00F871E7"/>
    <w:rsid w:val="00F94097"/>
    <w:rsid w:val="00FA3CF4"/>
    <w:rsid w:val="00FA4E56"/>
    <w:rsid w:val="00FB15D0"/>
    <w:rsid w:val="00FB1D6D"/>
    <w:rsid w:val="00FC430D"/>
    <w:rsid w:val="00FD0261"/>
    <w:rsid w:val="00FD1594"/>
    <w:rsid w:val="00FD1EAE"/>
    <w:rsid w:val="00FD1EE2"/>
    <w:rsid w:val="00FD5A30"/>
    <w:rsid w:val="00FE18CF"/>
    <w:rsid w:val="00FE279E"/>
    <w:rsid w:val="00FF5487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94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FD1594"/>
    <w:pPr>
      <w:keepNext/>
      <w:numPr>
        <w:numId w:val="1"/>
      </w:numPr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FD1594"/>
    <w:pPr>
      <w:keepNext/>
      <w:numPr>
        <w:ilvl w:val="1"/>
        <w:numId w:val="1"/>
      </w:numPr>
      <w:spacing w:before="240" w:after="240"/>
      <w:jc w:val="center"/>
      <w:outlineLvl w:val="1"/>
    </w:pPr>
    <w:rPr>
      <w:rFonts w:cs="Arial"/>
      <w:bCs/>
      <w:iCs/>
    </w:rPr>
  </w:style>
  <w:style w:type="paragraph" w:styleId="3">
    <w:name w:val="heading 3"/>
    <w:aliases w:val="Heading 3 Char"/>
    <w:basedOn w:val="a"/>
    <w:next w:val="a"/>
    <w:qFormat/>
    <w:rsid w:val="00FD159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FD159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D159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D15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D159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D159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D15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D1594"/>
    <w:pPr>
      <w:widowControl w:val="0"/>
      <w:spacing w:line="280" w:lineRule="auto"/>
      <w:jc w:val="center"/>
    </w:pPr>
    <w:rPr>
      <w:b/>
    </w:rPr>
  </w:style>
  <w:style w:type="paragraph" w:styleId="a3">
    <w:name w:val="caption"/>
    <w:basedOn w:val="a"/>
    <w:next w:val="a"/>
    <w:uiPriority w:val="99"/>
    <w:qFormat/>
    <w:rsid w:val="00FD1594"/>
    <w:pPr>
      <w:autoSpaceDE/>
      <w:autoSpaceDN/>
      <w:adjustRightInd/>
      <w:spacing w:line="20" w:lineRule="atLeast"/>
      <w:ind w:firstLine="0"/>
      <w:jc w:val="center"/>
    </w:pPr>
    <w:rPr>
      <w:b/>
      <w:sz w:val="24"/>
      <w:szCs w:val="20"/>
    </w:rPr>
  </w:style>
  <w:style w:type="character" w:styleId="a4">
    <w:name w:val="Hyperlink"/>
    <w:basedOn w:val="a0"/>
    <w:rsid w:val="007B5EFD"/>
    <w:rPr>
      <w:color w:val="0000FF"/>
      <w:u w:val="single"/>
    </w:rPr>
  </w:style>
  <w:style w:type="paragraph" w:styleId="a5">
    <w:name w:val="No Spacing"/>
    <w:uiPriority w:val="1"/>
    <w:qFormat/>
    <w:rsid w:val="00FE279E"/>
    <w:pPr>
      <w:widowControl w:val="0"/>
      <w:autoSpaceDE w:val="0"/>
      <w:autoSpaceDN w:val="0"/>
      <w:adjustRightInd w:val="0"/>
    </w:pPr>
  </w:style>
  <w:style w:type="table" w:styleId="a6">
    <w:name w:val="Table Grid"/>
    <w:basedOn w:val="a1"/>
    <w:rsid w:val="00B37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0A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rsid w:val="008A5168"/>
    <w:pPr>
      <w:widowControl w:val="0"/>
      <w:autoSpaceDE/>
      <w:autoSpaceDN/>
      <w:adjustRightInd/>
      <w:ind w:left="-170" w:firstLine="0"/>
      <w:jc w:val="center"/>
    </w:pPr>
    <w:rPr>
      <w:rFonts w:ascii="Arial" w:hAnsi="Arial"/>
      <w:b/>
      <w:bCs/>
      <w:color w:val="000000"/>
      <w:sz w:val="18"/>
      <w:szCs w:val="20"/>
    </w:rPr>
  </w:style>
  <w:style w:type="character" w:customStyle="1" w:styleId="a8">
    <w:name w:val="Основной текст с отступом Знак"/>
    <w:basedOn w:val="a0"/>
    <w:link w:val="a7"/>
    <w:rsid w:val="008A5168"/>
    <w:rPr>
      <w:rFonts w:ascii="Arial" w:hAnsi="Arial"/>
      <w:b/>
      <w:bCs/>
      <w:color w:val="000000"/>
      <w:sz w:val="18"/>
    </w:rPr>
  </w:style>
  <w:style w:type="paragraph" w:styleId="a9">
    <w:name w:val="Body Text"/>
    <w:basedOn w:val="a"/>
    <w:link w:val="aa"/>
    <w:rsid w:val="008A5168"/>
    <w:pPr>
      <w:spacing w:after="120"/>
    </w:pPr>
  </w:style>
  <w:style w:type="character" w:customStyle="1" w:styleId="aa">
    <w:name w:val="Основной текст Знак"/>
    <w:basedOn w:val="a0"/>
    <w:link w:val="a9"/>
    <w:rsid w:val="008A5168"/>
    <w:rPr>
      <w:sz w:val="28"/>
      <w:szCs w:val="28"/>
    </w:rPr>
  </w:style>
  <w:style w:type="paragraph" w:styleId="ab">
    <w:name w:val="Balloon Text"/>
    <w:basedOn w:val="a"/>
    <w:link w:val="ac"/>
    <w:rsid w:val="008A51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A516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8A5168"/>
    <w:pPr>
      <w:widowControl w:val="0"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A5168"/>
  </w:style>
  <w:style w:type="character" w:styleId="af">
    <w:name w:val="footnote reference"/>
    <w:basedOn w:val="a0"/>
    <w:rsid w:val="008A5168"/>
    <w:rPr>
      <w:vertAlign w:val="superscript"/>
    </w:rPr>
  </w:style>
  <w:style w:type="paragraph" w:styleId="af0">
    <w:name w:val="List Paragraph"/>
    <w:basedOn w:val="a"/>
    <w:uiPriority w:val="34"/>
    <w:qFormat/>
    <w:rsid w:val="00F85706"/>
    <w:pPr>
      <w:ind w:left="720"/>
      <w:contextualSpacing/>
    </w:pPr>
  </w:style>
  <w:style w:type="paragraph" w:styleId="af1">
    <w:name w:val="endnote text"/>
    <w:basedOn w:val="a"/>
    <w:link w:val="af2"/>
    <w:rsid w:val="00703DA6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703DA6"/>
  </w:style>
  <w:style w:type="character" w:styleId="af3">
    <w:name w:val="endnote reference"/>
    <w:basedOn w:val="a0"/>
    <w:rsid w:val="00703DA6"/>
    <w:rPr>
      <w:vertAlign w:val="superscript"/>
    </w:rPr>
  </w:style>
  <w:style w:type="paragraph" w:customStyle="1" w:styleId="af4">
    <w:name w:val="Абзац"/>
    <w:basedOn w:val="a"/>
    <w:rsid w:val="00CD0184"/>
    <w:pPr>
      <w:autoSpaceDE/>
      <w:autoSpaceDN/>
      <w:adjustRightInd/>
      <w:spacing w:before="120"/>
      <w:ind w:firstLine="851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94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FD1594"/>
    <w:pPr>
      <w:keepNext/>
      <w:numPr>
        <w:numId w:val="1"/>
      </w:numPr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FD1594"/>
    <w:pPr>
      <w:keepNext/>
      <w:numPr>
        <w:ilvl w:val="1"/>
        <w:numId w:val="1"/>
      </w:numPr>
      <w:spacing w:before="240" w:after="240"/>
      <w:jc w:val="center"/>
      <w:outlineLvl w:val="1"/>
    </w:pPr>
    <w:rPr>
      <w:rFonts w:cs="Arial"/>
      <w:bCs/>
      <w:iCs/>
    </w:rPr>
  </w:style>
  <w:style w:type="paragraph" w:styleId="3">
    <w:name w:val="heading 3"/>
    <w:aliases w:val="Heading 3 Char"/>
    <w:basedOn w:val="a"/>
    <w:next w:val="a"/>
    <w:qFormat/>
    <w:rsid w:val="00FD159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FD159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D159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D15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D159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D159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D15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D1594"/>
    <w:pPr>
      <w:widowControl w:val="0"/>
      <w:spacing w:line="280" w:lineRule="auto"/>
      <w:jc w:val="center"/>
    </w:pPr>
    <w:rPr>
      <w:b/>
    </w:rPr>
  </w:style>
  <w:style w:type="paragraph" w:styleId="a3">
    <w:name w:val="caption"/>
    <w:basedOn w:val="a"/>
    <w:next w:val="a"/>
    <w:uiPriority w:val="99"/>
    <w:qFormat/>
    <w:rsid w:val="00FD1594"/>
    <w:pPr>
      <w:autoSpaceDE/>
      <w:autoSpaceDN/>
      <w:adjustRightInd/>
      <w:spacing w:line="20" w:lineRule="atLeast"/>
      <w:ind w:firstLine="0"/>
      <w:jc w:val="center"/>
    </w:pPr>
    <w:rPr>
      <w:b/>
      <w:sz w:val="24"/>
      <w:szCs w:val="20"/>
    </w:rPr>
  </w:style>
  <w:style w:type="character" w:styleId="a4">
    <w:name w:val="Hyperlink"/>
    <w:basedOn w:val="a0"/>
    <w:rsid w:val="007B5EFD"/>
    <w:rPr>
      <w:color w:val="0000FF"/>
      <w:u w:val="single"/>
    </w:rPr>
  </w:style>
  <w:style w:type="paragraph" w:styleId="a5">
    <w:name w:val="No Spacing"/>
    <w:uiPriority w:val="1"/>
    <w:qFormat/>
    <w:rsid w:val="00FE279E"/>
    <w:pPr>
      <w:widowControl w:val="0"/>
      <w:autoSpaceDE w:val="0"/>
      <w:autoSpaceDN w:val="0"/>
      <w:adjustRightInd w:val="0"/>
    </w:pPr>
  </w:style>
  <w:style w:type="table" w:styleId="a6">
    <w:name w:val="Table Grid"/>
    <w:basedOn w:val="a1"/>
    <w:rsid w:val="00B37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0A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rsid w:val="008A5168"/>
    <w:pPr>
      <w:widowControl w:val="0"/>
      <w:autoSpaceDE/>
      <w:autoSpaceDN/>
      <w:adjustRightInd/>
      <w:ind w:left="-170" w:firstLine="0"/>
      <w:jc w:val="center"/>
    </w:pPr>
    <w:rPr>
      <w:rFonts w:ascii="Arial" w:hAnsi="Arial"/>
      <w:b/>
      <w:bCs/>
      <w:color w:val="000000"/>
      <w:sz w:val="18"/>
      <w:szCs w:val="20"/>
    </w:rPr>
  </w:style>
  <w:style w:type="character" w:customStyle="1" w:styleId="a8">
    <w:name w:val="Основной текст с отступом Знак"/>
    <w:basedOn w:val="a0"/>
    <w:link w:val="a7"/>
    <w:rsid w:val="008A5168"/>
    <w:rPr>
      <w:rFonts w:ascii="Arial" w:hAnsi="Arial"/>
      <w:b/>
      <w:bCs/>
      <w:color w:val="000000"/>
      <w:sz w:val="18"/>
    </w:rPr>
  </w:style>
  <w:style w:type="paragraph" w:styleId="a9">
    <w:name w:val="Body Text"/>
    <w:basedOn w:val="a"/>
    <w:link w:val="aa"/>
    <w:rsid w:val="008A5168"/>
    <w:pPr>
      <w:spacing w:after="120"/>
    </w:pPr>
  </w:style>
  <w:style w:type="character" w:customStyle="1" w:styleId="aa">
    <w:name w:val="Основной текст Знак"/>
    <w:basedOn w:val="a0"/>
    <w:link w:val="a9"/>
    <w:rsid w:val="008A5168"/>
    <w:rPr>
      <w:sz w:val="28"/>
      <w:szCs w:val="28"/>
    </w:rPr>
  </w:style>
  <w:style w:type="paragraph" w:styleId="ab">
    <w:name w:val="Balloon Text"/>
    <w:basedOn w:val="a"/>
    <w:link w:val="ac"/>
    <w:rsid w:val="008A51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A516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8A5168"/>
    <w:pPr>
      <w:widowControl w:val="0"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A5168"/>
  </w:style>
  <w:style w:type="character" w:styleId="af">
    <w:name w:val="footnote reference"/>
    <w:basedOn w:val="a0"/>
    <w:rsid w:val="008A5168"/>
    <w:rPr>
      <w:vertAlign w:val="superscript"/>
    </w:rPr>
  </w:style>
  <w:style w:type="paragraph" w:styleId="af0">
    <w:name w:val="List Paragraph"/>
    <w:basedOn w:val="a"/>
    <w:uiPriority w:val="34"/>
    <w:qFormat/>
    <w:rsid w:val="00F85706"/>
    <w:pPr>
      <w:ind w:left="720"/>
      <w:contextualSpacing/>
    </w:pPr>
  </w:style>
  <w:style w:type="paragraph" w:styleId="af1">
    <w:name w:val="endnote text"/>
    <w:basedOn w:val="a"/>
    <w:link w:val="af2"/>
    <w:rsid w:val="00703DA6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703DA6"/>
  </w:style>
  <w:style w:type="character" w:styleId="af3">
    <w:name w:val="endnote reference"/>
    <w:basedOn w:val="a0"/>
    <w:rsid w:val="00703DA6"/>
    <w:rPr>
      <w:vertAlign w:val="superscript"/>
    </w:rPr>
  </w:style>
  <w:style w:type="paragraph" w:customStyle="1" w:styleId="af4">
    <w:name w:val="Абзац"/>
    <w:basedOn w:val="a"/>
    <w:rsid w:val="00CD0184"/>
    <w:pPr>
      <w:autoSpaceDE/>
      <w:autoSpaceDN/>
      <w:adjustRightInd/>
      <w:spacing w:before="120"/>
      <w:ind w:firstLine="85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7993676926747818E-2"/>
          <c:y val="6.4698448020084454E-2"/>
          <c:w val="0.60615197094171269"/>
          <c:h val="0.84252254104798363"/>
        </c:manualLayout>
      </c:layout>
      <c:barChart>
        <c:barDir val="col"/>
        <c:grouping val="percentStacked"/>
        <c:ser>
          <c:idx val="0"/>
          <c:order val="0"/>
          <c:tx>
            <c:strRef>
              <c:f>'2015_2016'!$B$54</c:f>
              <c:strCache>
                <c:ptCount val="1"/>
                <c:pt idx="0">
                  <c:v>Прочие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1799410029498528"/>
                  <c:y val="-3.623188405797102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209439528023601"/>
                  <c:y val="-3.6231884057971024E-3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'2015_2016'!$B$55:$B$56</c:f>
              <c:numCache>
                <c:formatCode>0.0</c:formatCode>
                <c:ptCount val="2"/>
                <c:pt idx="0">
                  <c:v>4.7</c:v>
                </c:pt>
                <c:pt idx="1">
                  <c:v>5.6</c:v>
                </c:pt>
              </c:numCache>
            </c:numRef>
          </c:val>
        </c:ser>
        <c:ser>
          <c:idx val="1"/>
          <c:order val="1"/>
          <c:tx>
            <c:strRef>
              <c:f>'2015_2016'!$C$54</c:f>
              <c:strCache>
                <c:ptCount val="1"/>
                <c:pt idx="0">
                  <c:v>Масло и жиры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1799410029498528"/>
                  <c:y val="-3.623188405797102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208844004025249"/>
                  <c:y val="0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'2015_2016'!$C$55:$C$56</c:f>
              <c:numCache>
                <c:formatCode>0.0</c:formatCode>
                <c:ptCount val="2"/>
                <c:pt idx="0">
                  <c:v>5.0999999999999996</c:v>
                </c:pt>
                <c:pt idx="1">
                  <c:v>5.0999999999999996</c:v>
                </c:pt>
              </c:numCache>
            </c:numRef>
          </c:val>
        </c:ser>
        <c:ser>
          <c:idx val="2"/>
          <c:order val="2"/>
          <c:tx>
            <c:strRef>
              <c:f>'2015_2016'!$D$54</c:f>
              <c:strCache>
                <c:ptCount val="1"/>
                <c:pt idx="0">
                  <c:v>Сыры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1799410029498528"/>
                  <c:y val="-1.0869565217391308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406096361848575"/>
                  <c:y val="-1.0869565217391308E-2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'2015_2016'!$D$55:$D$56</c:f>
              <c:numCache>
                <c:formatCode>0.0</c:formatCode>
                <c:ptCount val="2"/>
                <c:pt idx="0">
                  <c:v>2.4</c:v>
                </c:pt>
                <c:pt idx="1">
                  <c:v>2.5</c:v>
                </c:pt>
              </c:numCache>
            </c:numRef>
          </c:val>
        </c:ser>
        <c:ser>
          <c:idx val="3"/>
          <c:order val="3"/>
          <c:tx>
            <c:strRef>
              <c:f>'2015_2016'!$E$54</c:f>
              <c:strCache>
                <c:ptCount val="1"/>
                <c:pt idx="0">
                  <c:v>Плодоовощная продукция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2192723697148478"/>
                  <c:y val="-3.623188405797102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799410029498528"/>
                  <c:y val="0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'2015_2016'!$E$55:$E$56</c:f>
              <c:numCache>
                <c:formatCode>0.0</c:formatCode>
                <c:ptCount val="2"/>
                <c:pt idx="0">
                  <c:v>14.8</c:v>
                </c:pt>
                <c:pt idx="1">
                  <c:v>13.7</c:v>
                </c:pt>
              </c:numCache>
            </c:numRef>
          </c:val>
        </c:ser>
        <c:ser>
          <c:idx val="4"/>
          <c:order val="4"/>
          <c:tx>
            <c:strRef>
              <c:f>'2015_2016'!$F$54</c:f>
              <c:strCache>
                <c:ptCount val="1"/>
                <c:pt idx="0">
                  <c:v>Сахар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1602753195673553"/>
                  <c:y val="0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799410029498528"/>
                  <c:y val="0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'2015_2016'!$F$55:$F$56</c:f>
              <c:numCache>
                <c:formatCode>0.0</c:formatCode>
                <c:ptCount val="2"/>
                <c:pt idx="0">
                  <c:v>2.6</c:v>
                </c:pt>
                <c:pt idx="1">
                  <c:v>2.4</c:v>
                </c:pt>
              </c:numCache>
            </c:numRef>
          </c:val>
        </c:ser>
        <c:ser>
          <c:idx val="5"/>
          <c:order val="5"/>
          <c:tx>
            <c:strRef>
              <c:f>'2015_2016'!$G$54</c:f>
              <c:strCache>
                <c:ptCount val="1"/>
                <c:pt idx="0">
                  <c:v>Хлеб, крупы и макоронные изделия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1799410029498528"/>
                  <c:y val="1.0869565217391375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996066863323503"/>
                  <c:y val="-3.6231884057971024E-3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'2015_2016'!$G$55:$G$56</c:f>
              <c:numCache>
                <c:formatCode>0.0</c:formatCode>
                <c:ptCount val="2"/>
                <c:pt idx="0">
                  <c:v>23.2</c:v>
                </c:pt>
                <c:pt idx="1">
                  <c:v>24.5</c:v>
                </c:pt>
              </c:numCache>
            </c:numRef>
          </c:val>
        </c:ser>
        <c:ser>
          <c:idx val="6"/>
          <c:order val="6"/>
          <c:tx>
            <c:strRef>
              <c:f>'2015_2016'!$H$54</c:f>
              <c:strCache>
                <c:ptCount val="1"/>
                <c:pt idx="0">
                  <c:v>Яйца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1799410029498528"/>
                  <c:y val="0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799410029498528"/>
                  <c:y val="0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'2015_2016'!$H$55:$H$56</c:f>
              <c:numCache>
                <c:formatCode>0.0</c:formatCode>
                <c:ptCount val="2"/>
                <c:pt idx="0">
                  <c:v>2.6</c:v>
                </c:pt>
                <c:pt idx="1">
                  <c:v>2.4</c:v>
                </c:pt>
              </c:numCache>
            </c:numRef>
          </c:val>
        </c:ser>
        <c:ser>
          <c:idx val="7"/>
          <c:order val="7"/>
          <c:tx>
            <c:strRef>
              <c:f>'2015_2016'!$I$54</c:f>
              <c:strCache>
                <c:ptCount val="1"/>
                <c:pt idx="0">
                  <c:v>Молочные продукты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1996066863323503"/>
                  <c:y val="3.623188405797102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996066863323503"/>
                  <c:y val="0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'2015_2016'!$I$55:$I$56</c:f>
              <c:numCache>
                <c:formatCode>0.0</c:formatCode>
                <c:ptCount val="2"/>
                <c:pt idx="0">
                  <c:v>17.8</c:v>
                </c:pt>
                <c:pt idx="1">
                  <c:v>18.100000000000001</c:v>
                </c:pt>
              </c:numCache>
            </c:numRef>
          </c:val>
        </c:ser>
        <c:ser>
          <c:idx val="8"/>
          <c:order val="8"/>
          <c:tx>
            <c:strRef>
              <c:f>'2015_2016'!$J$54</c:f>
              <c:strCache>
                <c:ptCount val="1"/>
                <c:pt idx="0">
                  <c:v>Рыбопродукты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2389380530973451"/>
                  <c:y val="0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1799410029498528"/>
                  <c:y val="0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'2015_2016'!$J$55:$J$56</c:f>
              <c:numCache>
                <c:formatCode>0.0</c:formatCode>
                <c:ptCount val="2"/>
                <c:pt idx="0">
                  <c:v>5.5</c:v>
                </c:pt>
                <c:pt idx="1">
                  <c:v>5.5</c:v>
                </c:pt>
              </c:numCache>
            </c:numRef>
          </c:val>
        </c:ser>
        <c:ser>
          <c:idx val="9"/>
          <c:order val="9"/>
          <c:tx>
            <c:strRef>
              <c:f>'2015_2016'!$K$54</c:f>
              <c:strCache>
                <c:ptCount val="1"/>
                <c:pt idx="0">
                  <c:v>Мясопродукты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0.11996066863323503"/>
                  <c:y val="-7.24637681159419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0.12389380530973451"/>
                  <c:y val="0"/>
                </c:manualLayout>
              </c:layout>
              <c:dLblPos val="ctr"/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'2015_2016'!$A$55:$A$56</c:f>
              <c:strCache>
                <c:ptCount val="2"/>
                <c:pt idx="0">
                  <c:v>Ноябрь  2015</c:v>
                </c:pt>
                <c:pt idx="1">
                  <c:v>Ноябрь  2016</c:v>
                </c:pt>
              </c:strCache>
            </c:strRef>
          </c:cat>
          <c:val>
            <c:numRef>
              <c:f>'2015_2016'!$K$55:$K$56</c:f>
              <c:numCache>
                <c:formatCode>0.0</c:formatCode>
                <c:ptCount val="2"/>
                <c:pt idx="0">
                  <c:v>21.3</c:v>
                </c:pt>
                <c:pt idx="1">
                  <c:v>20.2</c:v>
                </c:pt>
              </c:numCache>
            </c:numRef>
          </c:val>
        </c:ser>
        <c:dLbls>
          <c:showVal val="1"/>
        </c:dLbls>
        <c:gapWidth val="55"/>
        <c:overlap val="100"/>
        <c:axId val="29852800"/>
        <c:axId val="29854336"/>
      </c:barChart>
      <c:catAx>
        <c:axId val="29852800"/>
        <c:scaling>
          <c:orientation val="minMax"/>
        </c:scaling>
        <c:axPos val="b"/>
        <c:numFmt formatCode="@" sourceLinked="1"/>
        <c:maj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854336"/>
        <c:crosses val="autoZero"/>
        <c:auto val="1"/>
        <c:lblAlgn val="ctr"/>
        <c:lblOffset val="100"/>
      </c:catAx>
      <c:valAx>
        <c:axId val="29854336"/>
        <c:scaling>
          <c:orientation val="minMax"/>
        </c:scaling>
        <c:axPos val="l"/>
        <c:numFmt formatCode="0%" sourceLinked="1"/>
        <c:majorTickMark val="none"/>
        <c:tickLblPos val="nextTo"/>
        <c:txPr>
          <a:bodyPr/>
          <a:lstStyle/>
          <a:p>
            <a:pPr>
              <a:defRPr sz="9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852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39613964183684"/>
          <c:y val="0.10464880748602076"/>
          <c:w val="0.35357923179956491"/>
          <c:h val="0.79587783863973549"/>
        </c:manualLayout>
      </c:layout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321F-EFEB-4A86-9D69-8B4259F8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tukai</cp:lastModifiedBy>
  <cp:revision>2</cp:revision>
  <cp:lastPrinted>2016-12-08T06:43:00Z</cp:lastPrinted>
  <dcterms:created xsi:type="dcterms:W3CDTF">2016-12-09T04:19:00Z</dcterms:created>
  <dcterms:modified xsi:type="dcterms:W3CDTF">2016-12-09T04:19:00Z</dcterms:modified>
</cp:coreProperties>
</file>